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F802" w14:textId="77777777" w:rsidR="00897EFD" w:rsidRDefault="00897EFD" w:rsidP="00D014D6">
      <w:pPr>
        <w:ind w:firstLine="630"/>
        <w:rPr>
          <w:rFonts w:ascii="Palatino Linotype" w:hAnsi="Palatino Linotype"/>
        </w:rPr>
      </w:pPr>
    </w:p>
    <w:p w14:paraId="71753CC4" w14:textId="77777777" w:rsidR="00897EFD" w:rsidRDefault="00897EFD" w:rsidP="00D014D6">
      <w:pPr>
        <w:ind w:firstLine="630"/>
        <w:rPr>
          <w:rFonts w:ascii="Palatino Linotype" w:hAnsi="Palatino Linotype"/>
        </w:rPr>
      </w:pPr>
    </w:p>
    <w:p w14:paraId="39A91574" w14:textId="77777777" w:rsidR="00897EFD" w:rsidRPr="00873D99" w:rsidRDefault="00897EFD" w:rsidP="00D014D6">
      <w:pPr>
        <w:rPr>
          <w:rFonts w:ascii="Palatino Linotype" w:hAnsi="Palatino Linotype"/>
          <w:b/>
        </w:rPr>
      </w:pPr>
      <w:r w:rsidRPr="00873D99">
        <w:rPr>
          <w:rFonts w:ascii="Palatino Linotype" w:hAnsi="Palatino Linotype"/>
          <w:b/>
        </w:rPr>
        <w:t>John Mark Hicks</w:t>
      </w:r>
    </w:p>
    <w:p w14:paraId="26A8CC7F" w14:textId="77777777" w:rsidR="00897EFD" w:rsidRPr="00873D99" w:rsidRDefault="00897EFD" w:rsidP="00D014D6">
      <w:pPr>
        <w:rPr>
          <w:rFonts w:ascii="Palatino Linotype" w:hAnsi="Palatino Linotype"/>
          <w:b/>
        </w:rPr>
      </w:pPr>
      <w:r w:rsidRPr="00873D99">
        <w:rPr>
          <w:rFonts w:ascii="Palatino Linotype" w:hAnsi="Palatino Linotype"/>
          <w:b/>
        </w:rPr>
        <w:t>Lipscomb University</w:t>
      </w:r>
    </w:p>
    <w:p w14:paraId="34B9F74F" w14:textId="77777777" w:rsidR="00897EFD" w:rsidRPr="00873D99" w:rsidRDefault="00897EFD" w:rsidP="00D014D6">
      <w:pPr>
        <w:rPr>
          <w:rFonts w:ascii="Palatino Linotype" w:hAnsi="Palatino Linotype"/>
          <w:b/>
        </w:rPr>
      </w:pPr>
      <w:r w:rsidRPr="00873D99">
        <w:rPr>
          <w:rFonts w:ascii="Palatino Linotype" w:hAnsi="Palatino Linotype"/>
          <w:b/>
        </w:rPr>
        <w:t>Christian Scholars Conference 2012</w:t>
      </w:r>
    </w:p>
    <w:p w14:paraId="5D515D00" w14:textId="77777777" w:rsidR="00897EFD" w:rsidRDefault="00897EFD" w:rsidP="00D014D6">
      <w:pPr>
        <w:ind w:firstLine="630"/>
        <w:rPr>
          <w:rFonts w:ascii="Palatino Linotype" w:hAnsi="Palatino Linotype"/>
        </w:rPr>
      </w:pPr>
    </w:p>
    <w:p w14:paraId="1569B7E6" w14:textId="77777777" w:rsidR="00897EFD" w:rsidRDefault="00897EFD" w:rsidP="00873D99">
      <w:pPr>
        <w:jc w:val="center"/>
        <w:rPr>
          <w:rFonts w:ascii="Palatino Linotype" w:hAnsi="Palatino Linotype"/>
          <w:b/>
        </w:rPr>
      </w:pPr>
      <w:r w:rsidRPr="00873D99">
        <w:rPr>
          <w:rFonts w:ascii="Palatino Linotype" w:hAnsi="Palatino Linotype"/>
          <w:b/>
        </w:rPr>
        <w:t>Gratuitous Evil and Meticulous Providence</w:t>
      </w:r>
    </w:p>
    <w:p w14:paraId="13C09F71" w14:textId="77777777" w:rsidR="00897EFD" w:rsidRPr="00873D99" w:rsidRDefault="00897EFD" w:rsidP="00873D99">
      <w:pPr>
        <w:jc w:val="center"/>
        <w:rPr>
          <w:rFonts w:ascii="Palatino Linotype" w:hAnsi="Palatino Linotype"/>
          <w:b/>
        </w:rPr>
      </w:pPr>
      <w:r w:rsidRPr="00873D99">
        <w:rPr>
          <w:rFonts w:ascii="Palatino Linotype" w:hAnsi="Palatino Linotype"/>
          <w:b/>
        </w:rPr>
        <w:t>In</w:t>
      </w:r>
      <w:r>
        <w:rPr>
          <w:rFonts w:ascii="Palatino Linotype" w:hAnsi="Palatino Linotype"/>
          <w:b/>
        </w:rPr>
        <w:t xml:space="preserve"> the Thought</w:t>
      </w:r>
      <w:r w:rsidRPr="00873D99">
        <w:rPr>
          <w:rFonts w:ascii="Palatino Linotype" w:hAnsi="Palatino Linotype"/>
          <w:b/>
        </w:rPr>
        <w:t xml:space="preserve"> of Alexander Campbell</w:t>
      </w:r>
    </w:p>
    <w:p w14:paraId="5FB15DF5" w14:textId="77777777" w:rsidR="00897EFD" w:rsidRDefault="00897EFD" w:rsidP="00D014D6">
      <w:pPr>
        <w:ind w:firstLine="630"/>
        <w:rPr>
          <w:rFonts w:ascii="Palatino Linotype" w:hAnsi="Palatino Linotype"/>
        </w:rPr>
      </w:pPr>
    </w:p>
    <w:p w14:paraId="326E6AC7" w14:textId="77777777" w:rsidR="00897EFD" w:rsidRDefault="00897EFD" w:rsidP="00873D99">
      <w:pPr>
        <w:spacing w:line="480" w:lineRule="auto"/>
        <w:ind w:firstLine="634"/>
        <w:rPr>
          <w:rFonts w:ascii="Palatino Linotype" w:hAnsi="Palatino Linotype"/>
        </w:rPr>
      </w:pPr>
      <w:r>
        <w:rPr>
          <w:rFonts w:ascii="Palatino Linotype" w:hAnsi="Palatino Linotype"/>
        </w:rPr>
        <w:t xml:space="preserve">I am pleased to offer a response to my friend Dr. Caleb Clanton. I deeply appreciate his engagement with the resources of the Stone-Campbell Movement, particularly Alexander Campbell, in the discipline of Philosophy of Religion. Of all the early Reformers, Campbell is the best—perhaps the only choice—for such a project.  However, my appreciation not only extends to the subject matter, but also for how Clanton brings Campbell’s philosophy of religion into dialogue with contemporary discussions. In the language of Vatican II’s </w:t>
      </w:r>
      <w:r w:rsidRPr="00D014D6">
        <w:rPr>
          <w:rFonts w:ascii="Palatino Linotype" w:hAnsi="Palatino Linotype"/>
          <w:i/>
        </w:rPr>
        <w:t>aggiornamento</w:t>
      </w:r>
      <w:r>
        <w:rPr>
          <w:rFonts w:ascii="Palatino Linotype" w:hAnsi="Palatino Linotype"/>
        </w:rPr>
        <w:t xml:space="preserve">, Clanton brings the </w:t>
      </w:r>
      <w:proofErr w:type="spellStart"/>
      <w:r>
        <w:rPr>
          <w:rFonts w:ascii="Palatino Linotype" w:hAnsi="Palatino Linotype"/>
        </w:rPr>
        <w:t>Campbellian</w:t>
      </w:r>
      <w:proofErr w:type="spellEnd"/>
      <w:r>
        <w:rPr>
          <w:rFonts w:ascii="Palatino Linotype" w:hAnsi="Palatino Linotype"/>
        </w:rPr>
        <w:t xml:space="preserve"> philosophical tradition “up to date.” </w:t>
      </w:r>
    </w:p>
    <w:p w14:paraId="510327EA" w14:textId="77777777" w:rsidR="00897EFD" w:rsidRDefault="00897EFD" w:rsidP="00873D99">
      <w:pPr>
        <w:spacing w:line="480" w:lineRule="auto"/>
        <w:ind w:firstLine="634"/>
        <w:rPr>
          <w:rFonts w:ascii="Palatino Linotype" w:hAnsi="Palatino Linotype"/>
        </w:rPr>
      </w:pPr>
      <w:r>
        <w:rPr>
          <w:rFonts w:ascii="Palatino Linotype" w:hAnsi="Palatino Linotype"/>
        </w:rPr>
        <w:t>My own personal interests gravitate toward the problem of evil, but also more specifically its relation to divine providence. I also have a primary interest in Stone-Campbell historical theology. Consequently, Clanton’s book for me is a “perfect storm.” I will focus on his chapter on the problem of evil but primarily concern myself with his discussion of gratuitous evil.</w:t>
      </w:r>
    </w:p>
    <w:p w14:paraId="011F0AC3" w14:textId="77777777" w:rsidR="00897EFD" w:rsidRDefault="00897EFD" w:rsidP="00873D99">
      <w:pPr>
        <w:spacing w:line="480" w:lineRule="auto"/>
        <w:ind w:firstLine="634"/>
        <w:rPr>
          <w:rFonts w:ascii="Palatino Linotype" w:hAnsi="Palatino Linotype"/>
        </w:rPr>
      </w:pPr>
      <w:r w:rsidRPr="005B0C57">
        <w:rPr>
          <w:rFonts w:ascii="Palatino Linotype" w:hAnsi="Palatino Linotype"/>
        </w:rPr>
        <w:lastRenderedPageBreak/>
        <w:t>Clanton observes that Campbell’s formulations</w:t>
      </w:r>
      <w:r>
        <w:rPr>
          <w:rFonts w:ascii="Palatino Linotype" w:hAnsi="Palatino Linotype"/>
        </w:rPr>
        <w:t xml:space="preserve"> and discussions regarding the problem of evil</w:t>
      </w:r>
      <w:r w:rsidRPr="005B0C57">
        <w:rPr>
          <w:rFonts w:ascii="Palatino Linotype" w:hAnsi="Palatino Linotype"/>
        </w:rPr>
        <w:t xml:space="preserve"> are “scat</w:t>
      </w:r>
      <w:r w:rsidR="00C9344B">
        <w:rPr>
          <w:rFonts w:ascii="Palatino Linotype" w:hAnsi="Palatino Linotype"/>
        </w:rPr>
        <w:t>tered throughout his writings</w:t>
      </w:r>
      <w:r w:rsidRPr="005B0C57">
        <w:rPr>
          <w:rFonts w:ascii="Palatino Linotype" w:hAnsi="Palatino Linotype"/>
        </w:rPr>
        <w:t xml:space="preserve"> on other topics.”</w:t>
      </w:r>
      <w:r w:rsidRPr="005B0C57">
        <w:rPr>
          <w:rStyle w:val="FootnoteReference"/>
          <w:rFonts w:ascii="Palatino Linotype" w:hAnsi="Palatino Linotype"/>
        </w:rPr>
        <w:footnoteReference w:id="1"/>
      </w:r>
      <w:r>
        <w:rPr>
          <w:rFonts w:ascii="Palatino Linotype" w:hAnsi="Palatino Linotype"/>
        </w:rPr>
        <w:t xml:space="preserve"> Consequently, it is difficult to grasp his understanding without a wide reading in his literature, which is a huge task. I am pleased, fo</w:t>
      </w:r>
      <w:r w:rsidR="00C9344B">
        <w:rPr>
          <w:rFonts w:ascii="Palatino Linotype" w:hAnsi="Palatino Linotype"/>
        </w:rPr>
        <w:t>r example, that Clanton</w:t>
      </w:r>
      <w:r>
        <w:rPr>
          <w:rFonts w:ascii="Palatino Linotype" w:hAnsi="Palatino Linotype"/>
        </w:rPr>
        <w:t xml:space="preserve"> brings to bear Campbell’s thinking from the Campbell-Owen </w:t>
      </w:r>
      <w:proofErr w:type="gramStart"/>
      <w:r>
        <w:rPr>
          <w:rFonts w:ascii="Palatino Linotype" w:hAnsi="Palatino Linotype"/>
        </w:rPr>
        <w:t>debate</w:t>
      </w:r>
      <w:proofErr w:type="gramEnd"/>
      <w:r>
        <w:rPr>
          <w:rFonts w:ascii="Palatino Linotype" w:hAnsi="Palatino Linotype"/>
        </w:rPr>
        <w:t xml:space="preserve"> as it is lies in a morass of rhetoric and lengthy speeches. This is something that I myself had overlooked—much to my chagrin, careless reading and, I might add, delight. Clanton succeeds in bringing together the key elem</w:t>
      </w:r>
      <w:r w:rsidR="00C9344B">
        <w:rPr>
          <w:rFonts w:ascii="Palatino Linotype" w:hAnsi="Palatino Linotype"/>
        </w:rPr>
        <w:t>ents for assembling Campbell’s response to the philosophical problem of evil</w:t>
      </w:r>
      <w:r>
        <w:rPr>
          <w:rFonts w:ascii="Palatino Linotype" w:hAnsi="Palatino Linotype"/>
        </w:rPr>
        <w:t>.</w:t>
      </w:r>
    </w:p>
    <w:p w14:paraId="1EEC8AA5" w14:textId="77777777" w:rsidR="00897EFD" w:rsidRDefault="00897EFD" w:rsidP="005B0C57">
      <w:pPr>
        <w:pStyle w:val="BodyTextIndent"/>
        <w:spacing w:line="480" w:lineRule="auto"/>
        <w:rPr>
          <w:rFonts w:ascii="Palatino Linotype" w:hAnsi="Palatino Linotype" w:cs="Arial"/>
          <w:spacing w:val="-2"/>
        </w:rPr>
      </w:pPr>
      <w:r>
        <w:rPr>
          <w:rFonts w:ascii="Palatino Linotype" w:hAnsi="Palatino Linotype" w:cs="Arial"/>
          <w:spacing w:val="-2"/>
        </w:rPr>
        <w:t xml:space="preserve">As I read Clanton, Alexander Campbell offers a “free-will” defense which anticipates Alvin Plantinga himself, takes a “skeptical theist” </w:t>
      </w:r>
      <w:r w:rsidR="00C9344B">
        <w:rPr>
          <w:rFonts w:ascii="Palatino Linotype" w:hAnsi="Palatino Linotype" w:cs="Arial"/>
          <w:spacing w:val="-2"/>
        </w:rPr>
        <w:t>position (that is, no one knows what good reasons God might have for any particular evil)</w:t>
      </w:r>
      <w:r>
        <w:rPr>
          <w:rFonts w:ascii="Palatino Linotype" w:hAnsi="Palatino Linotype" w:cs="Arial"/>
          <w:spacing w:val="-2"/>
        </w:rPr>
        <w:t xml:space="preserve"> regarding gratuitous evil, and grounds the hiddenness of God in the moral reality of epistemic distance such that faith is a movement of the will to believe rational evidence (involving epistemic orientation) rather than something that is so rationally compelling that everyone is coerced into faith (which would then have no moral significance). This summary of Campbell’s response to the problem of evil is modern and, at the same time, contemporary. It is, all things considered, quite stunning. I am grateful for Clanton’s illuminating work here that not only </w:t>
      </w:r>
      <w:r>
        <w:rPr>
          <w:rFonts w:ascii="Palatino Linotype" w:hAnsi="Palatino Linotype" w:cs="Arial"/>
          <w:spacing w:val="-2"/>
        </w:rPr>
        <w:lastRenderedPageBreak/>
        <w:t xml:space="preserve">understands Campbell but </w:t>
      </w:r>
      <w:r w:rsidR="00C9344B">
        <w:rPr>
          <w:rFonts w:ascii="Palatino Linotype" w:hAnsi="Palatino Linotype" w:cs="Arial"/>
          <w:spacing w:val="-2"/>
        </w:rPr>
        <w:t xml:space="preserve">also </w:t>
      </w:r>
      <w:r>
        <w:rPr>
          <w:rFonts w:ascii="Palatino Linotype" w:hAnsi="Palatino Linotype" w:cs="Arial"/>
          <w:spacing w:val="-2"/>
        </w:rPr>
        <w:t>brings Campbell into contemporary dialogue with philosophers of religion. At least in this chapter Campbell anticipates contemporary discussions in surprising ways.</w:t>
      </w:r>
    </w:p>
    <w:p w14:paraId="738FB16F" w14:textId="77777777" w:rsidR="00897EFD" w:rsidRDefault="00897EFD" w:rsidP="005B0C57">
      <w:pPr>
        <w:pStyle w:val="BodyTextIndent"/>
        <w:spacing w:line="480" w:lineRule="auto"/>
        <w:rPr>
          <w:rFonts w:ascii="Palatino Linotype" w:hAnsi="Palatino Linotype" w:cs="Arial"/>
          <w:spacing w:val="-2"/>
        </w:rPr>
      </w:pPr>
      <w:r>
        <w:rPr>
          <w:rFonts w:ascii="Palatino Linotype" w:hAnsi="Palatino Linotype" w:cs="Arial"/>
          <w:spacing w:val="-2"/>
        </w:rPr>
        <w:t>In this brief interaction, I will focus on gratuitous evil, but I will begin with the other two sections of the chapter with a few brief comments.</w:t>
      </w:r>
    </w:p>
    <w:p w14:paraId="6A96DE54" w14:textId="77777777" w:rsidR="00897EFD" w:rsidRDefault="00897EFD" w:rsidP="005B0C57">
      <w:pPr>
        <w:pStyle w:val="BodyTextIndent"/>
        <w:spacing w:line="480" w:lineRule="auto"/>
        <w:rPr>
          <w:rFonts w:ascii="Palatino Linotype" w:hAnsi="Palatino Linotype" w:cs="Arial"/>
          <w:spacing w:val="-2"/>
        </w:rPr>
      </w:pPr>
    </w:p>
    <w:p w14:paraId="38DC2D6F" w14:textId="77777777" w:rsidR="00897EFD" w:rsidRPr="008254F4" w:rsidRDefault="00897EFD" w:rsidP="008254F4">
      <w:pPr>
        <w:pStyle w:val="BodyTextIndent"/>
        <w:spacing w:line="480" w:lineRule="auto"/>
        <w:ind w:firstLine="0"/>
        <w:rPr>
          <w:rFonts w:ascii="Palatino Linotype" w:hAnsi="Palatino Linotype" w:cs="Arial"/>
          <w:i/>
          <w:spacing w:val="-2"/>
        </w:rPr>
      </w:pPr>
      <w:r w:rsidRPr="008254F4">
        <w:rPr>
          <w:rFonts w:ascii="Palatino Linotype" w:hAnsi="Palatino Linotype" w:cs="Arial"/>
          <w:i/>
          <w:spacing w:val="-2"/>
        </w:rPr>
        <w:t>Free Will Defense</w:t>
      </w:r>
    </w:p>
    <w:p w14:paraId="71C7CAE5" w14:textId="77777777" w:rsidR="00897EFD" w:rsidRDefault="00897EFD" w:rsidP="008254F4">
      <w:pPr>
        <w:pStyle w:val="BodyTextIndent"/>
        <w:spacing w:line="480" w:lineRule="auto"/>
        <w:rPr>
          <w:rFonts w:ascii="Palatino Linotype" w:hAnsi="Palatino Linotype" w:cs="Arial"/>
          <w:spacing w:val="-2"/>
        </w:rPr>
      </w:pPr>
      <w:r w:rsidRPr="005B0C57">
        <w:rPr>
          <w:rFonts w:ascii="Palatino Linotype" w:hAnsi="Palatino Linotype" w:cs="Arial"/>
          <w:spacing w:val="-2"/>
        </w:rPr>
        <w:t>Campbell e</w:t>
      </w:r>
      <w:r>
        <w:rPr>
          <w:rFonts w:ascii="Palatino Linotype" w:hAnsi="Palatino Linotype" w:cs="Arial"/>
          <w:spacing w:val="-2"/>
        </w:rPr>
        <w:t>mbraced some version of libertarian</w:t>
      </w:r>
      <w:r w:rsidRPr="005B0C57">
        <w:rPr>
          <w:rFonts w:ascii="Palatino Linotype" w:hAnsi="Palatino Linotype" w:cs="Arial"/>
          <w:spacing w:val="-2"/>
        </w:rPr>
        <w:t xml:space="preserve"> human freedom. While hesitant to engage in speculative discussion, human freedom is the origin of human evil. </w:t>
      </w:r>
      <w:r>
        <w:rPr>
          <w:rFonts w:ascii="Palatino Linotype" w:hAnsi="Palatino Linotype" w:cs="Arial"/>
          <w:spacing w:val="-2"/>
        </w:rPr>
        <w:t>Clanton summarizes the argument well</w:t>
      </w:r>
      <w:r w:rsidR="00C9344B">
        <w:rPr>
          <w:rFonts w:ascii="Palatino Linotype" w:hAnsi="Palatino Linotype" w:cs="Arial"/>
          <w:spacing w:val="-2"/>
        </w:rPr>
        <w:t xml:space="preserve">: </w:t>
      </w:r>
      <w:r>
        <w:rPr>
          <w:rFonts w:ascii="Palatino Linotype" w:hAnsi="Palatino Linotype" w:cs="Arial"/>
          <w:spacing w:val="-2"/>
        </w:rPr>
        <w:t xml:space="preserve"> human happiness is secured by affirming God as moral governor and human beings becoming praiseworthy obedient moral agents. Clanton correctly notes that Campbell’s argument is similar to </w:t>
      </w:r>
      <w:proofErr w:type="spellStart"/>
      <w:r>
        <w:rPr>
          <w:rFonts w:ascii="Palatino Linotype" w:hAnsi="Palatino Linotype" w:cs="Arial"/>
          <w:spacing w:val="-2"/>
        </w:rPr>
        <w:t>Plantinga’s</w:t>
      </w:r>
      <w:proofErr w:type="spellEnd"/>
      <w:r>
        <w:rPr>
          <w:rFonts w:ascii="Palatino Linotype" w:hAnsi="Palatino Linotype" w:cs="Arial"/>
          <w:spacing w:val="-2"/>
        </w:rPr>
        <w:t xml:space="preserve"> “Free Will Defense” in that God cannot “make an infallible fallible creature” and to make an infa</w:t>
      </w:r>
      <w:r w:rsidR="00C9344B">
        <w:rPr>
          <w:rFonts w:ascii="Palatino Linotype" w:hAnsi="Palatino Linotype" w:cs="Arial"/>
          <w:spacing w:val="-2"/>
        </w:rPr>
        <w:t>llible creature would undermine</w:t>
      </w:r>
      <w:r>
        <w:rPr>
          <w:rFonts w:ascii="Palatino Linotype" w:hAnsi="Palatino Linotype" w:cs="Arial"/>
          <w:spacing w:val="-2"/>
        </w:rPr>
        <w:t xml:space="preserve"> the moral purposes for which God created the universe.</w:t>
      </w:r>
      <w:r w:rsidRPr="008254F4">
        <w:rPr>
          <w:rStyle w:val="FootnoteReference"/>
          <w:rFonts w:ascii="Palatino Linotype" w:hAnsi="Palatino Linotype" w:cs="Arial"/>
          <w:spacing w:val="-2"/>
        </w:rPr>
        <w:t xml:space="preserve"> </w:t>
      </w:r>
      <w:r w:rsidRPr="005B0C57">
        <w:rPr>
          <w:rStyle w:val="FootnoteReference"/>
          <w:rFonts w:ascii="Palatino Linotype" w:hAnsi="Palatino Linotype" w:cs="Arial"/>
          <w:spacing w:val="-2"/>
        </w:rPr>
        <w:footnoteReference w:id="2"/>
      </w:r>
    </w:p>
    <w:p w14:paraId="18BFAFA6" w14:textId="77777777" w:rsidR="00897EFD" w:rsidRDefault="00897EFD" w:rsidP="008E6837">
      <w:pPr>
        <w:pStyle w:val="BodyTextIndent"/>
        <w:spacing w:line="480" w:lineRule="auto"/>
        <w:rPr>
          <w:rFonts w:ascii="Palatino Linotype" w:hAnsi="Palatino Linotype" w:cs="Arial"/>
          <w:spacing w:val="-2"/>
        </w:rPr>
      </w:pPr>
      <w:r>
        <w:rPr>
          <w:rFonts w:ascii="Palatino Linotype" w:hAnsi="Palatino Linotype" w:cs="Arial"/>
          <w:spacing w:val="-2"/>
        </w:rPr>
        <w:t>I will not elaborate Campbell’s argument here since Clanton articulates it well and accurat</w:t>
      </w:r>
      <w:r w:rsidR="00C9344B">
        <w:rPr>
          <w:rFonts w:ascii="Palatino Linotype" w:hAnsi="Palatino Linotype" w:cs="Arial"/>
          <w:spacing w:val="-2"/>
        </w:rPr>
        <w:t>ely.  However, I do want to note</w:t>
      </w:r>
      <w:r>
        <w:rPr>
          <w:rFonts w:ascii="Palatino Linotype" w:hAnsi="Palatino Linotype" w:cs="Arial"/>
          <w:spacing w:val="-2"/>
        </w:rPr>
        <w:t xml:space="preserve"> a point that I did not see emphasized in Clanton’s work.  It seems to me that Campbell is quite hesitant to venture into these philosophical waters. At the very moment he </w:t>
      </w:r>
      <w:proofErr w:type="gramStart"/>
      <w:r>
        <w:rPr>
          <w:rFonts w:ascii="Palatino Linotype" w:hAnsi="Palatino Linotype" w:cs="Arial"/>
          <w:spacing w:val="-2"/>
        </w:rPr>
        <w:t>argues that</w:t>
      </w:r>
      <w:proofErr w:type="gramEnd"/>
      <w:r>
        <w:rPr>
          <w:rFonts w:ascii="Palatino Linotype" w:hAnsi="Palatino Linotype" w:cs="Arial"/>
          <w:spacing w:val="-2"/>
        </w:rPr>
        <w:t xml:space="preserve"> “it is </w:t>
      </w:r>
      <w:r>
        <w:rPr>
          <w:rFonts w:ascii="Palatino Linotype" w:hAnsi="Palatino Linotype" w:cs="Arial"/>
          <w:spacing w:val="-2"/>
        </w:rPr>
        <w:lastRenderedPageBreak/>
        <w:t>impossible to conceive of a rational creation of an infallible nature,” he recognizes that he has brought the reader to “the shore of an immense ocean where weak heads are sure to be drowned.” He ventures to swim in that ocean but only “a short distance in sight of land.”</w:t>
      </w:r>
      <w:r w:rsidRPr="008E6837">
        <w:rPr>
          <w:rStyle w:val="FootnoteReference"/>
          <w:rFonts w:ascii="Palatino Linotype" w:hAnsi="Palatino Linotype" w:cs="Arial"/>
          <w:spacing w:val="-2"/>
        </w:rPr>
        <w:t xml:space="preserve"> </w:t>
      </w:r>
      <w:r>
        <w:rPr>
          <w:rFonts w:ascii="Palatino Linotype" w:hAnsi="Palatino Linotype" w:cs="Arial"/>
          <w:spacing w:val="-2"/>
        </w:rPr>
        <w:t xml:space="preserve"> He is willing to go far enough to argue that “it is impossible to create a being that shall be capable of obeying, and at the same time incapable of disobeying” but he remains in sight of land.</w:t>
      </w:r>
      <w:r w:rsidRPr="005B0C57">
        <w:rPr>
          <w:rStyle w:val="FootnoteReference"/>
          <w:rFonts w:ascii="Palatino Linotype" w:hAnsi="Palatino Linotype" w:cs="Arial"/>
          <w:spacing w:val="-2"/>
        </w:rPr>
        <w:footnoteReference w:id="3"/>
      </w:r>
    </w:p>
    <w:p w14:paraId="0CC241E8" w14:textId="77777777" w:rsidR="00897EFD" w:rsidRPr="005B0C57" w:rsidRDefault="00897EFD" w:rsidP="008E6837">
      <w:pPr>
        <w:pStyle w:val="BodyTextIndent"/>
        <w:spacing w:line="480" w:lineRule="auto"/>
        <w:rPr>
          <w:rFonts w:ascii="Palatino Linotype" w:hAnsi="Palatino Linotype" w:cs="Arial"/>
          <w:spacing w:val="-2"/>
        </w:rPr>
      </w:pPr>
      <w:r>
        <w:rPr>
          <w:rFonts w:ascii="Palatino Linotype" w:hAnsi="Palatino Linotype" w:cs="Arial"/>
          <w:spacing w:val="-2"/>
        </w:rPr>
        <w:t>Campbell certainly, as Clanton has demonstrated,</w:t>
      </w:r>
      <w:r w:rsidRPr="005B0C57">
        <w:rPr>
          <w:rFonts w:ascii="Palatino Linotype" w:hAnsi="Palatino Linotype" w:cs="Arial"/>
          <w:spacing w:val="-2"/>
        </w:rPr>
        <w:t xml:space="preserve"> </w:t>
      </w:r>
      <w:r>
        <w:rPr>
          <w:rFonts w:ascii="Palatino Linotype" w:hAnsi="Palatino Linotype" w:cs="Arial"/>
          <w:spacing w:val="-2"/>
        </w:rPr>
        <w:t>articulated a</w:t>
      </w:r>
      <w:r w:rsidRPr="005B0C57">
        <w:rPr>
          <w:rFonts w:ascii="Palatino Linotype" w:hAnsi="Palatino Linotype" w:cs="Arial"/>
          <w:spacing w:val="-2"/>
        </w:rPr>
        <w:t xml:space="preserve"> “free-will defense,” yet Campbell</w:t>
      </w:r>
      <w:r>
        <w:rPr>
          <w:rFonts w:ascii="Palatino Linotype" w:hAnsi="Palatino Linotype" w:cs="Arial"/>
          <w:spacing w:val="-2"/>
        </w:rPr>
        <w:t xml:space="preserve">—the good empiricist he was—was </w:t>
      </w:r>
      <w:r w:rsidRPr="005B0C57">
        <w:rPr>
          <w:rFonts w:ascii="Palatino Linotype" w:hAnsi="Palatino Linotype" w:cs="Arial"/>
          <w:spacing w:val="-2"/>
        </w:rPr>
        <w:t>uncomfortable with this so</w:t>
      </w:r>
      <w:r>
        <w:rPr>
          <w:rFonts w:ascii="Palatino Linotype" w:hAnsi="Palatino Linotype" w:cs="Arial"/>
          <w:spacing w:val="-2"/>
        </w:rPr>
        <w:t>rt of metaphysical reasoning. It seems he</w:t>
      </w:r>
      <w:r w:rsidRPr="005B0C57">
        <w:rPr>
          <w:rFonts w:ascii="Palatino Linotype" w:hAnsi="Palatino Linotype" w:cs="Arial"/>
          <w:spacing w:val="-2"/>
        </w:rPr>
        <w:t xml:space="preserve"> pursued it only as a negative apologetic.</w:t>
      </w:r>
    </w:p>
    <w:p w14:paraId="13672984" w14:textId="77777777" w:rsidR="00897EFD" w:rsidRDefault="00897EFD" w:rsidP="00EA5F49">
      <w:pPr>
        <w:pStyle w:val="BodyTextIndent"/>
        <w:ind w:left="720" w:right="360" w:firstLine="0"/>
        <w:rPr>
          <w:rFonts w:ascii="Palatino Linotype" w:hAnsi="Palatino Linotype" w:cs="Arial"/>
          <w:spacing w:val="-2"/>
        </w:rPr>
      </w:pPr>
      <w:r w:rsidRPr="005B0C57">
        <w:rPr>
          <w:rFonts w:ascii="Palatino Linotype" w:hAnsi="Palatino Linotype" w:cs="Arial"/>
          <w:spacing w:val="-2"/>
        </w:rPr>
        <w:t>To launch out into the development of views purely metaphysical, in order to correct metaphysical errors, is at best only calculated to create a distrust in those visionary problems on which some build as firmly as if on the Rock of Ages. I never wish to establish any one point in this way; but I desire to throw a caveat in the way of those who are willing to risk eternity itself upon a visionary problem.</w:t>
      </w:r>
      <w:r w:rsidRPr="005B0C57">
        <w:rPr>
          <w:rStyle w:val="FootnoteReference"/>
          <w:rFonts w:ascii="Palatino Linotype" w:hAnsi="Palatino Linotype" w:cs="Arial"/>
          <w:spacing w:val="-2"/>
        </w:rPr>
        <w:footnoteReference w:id="4"/>
      </w:r>
      <w:r w:rsidRPr="005B0C57">
        <w:rPr>
          <w:rFonts w:ascii="Palatino Linotype" w:hAnsi="Palatino Linotype" w:cs="Arial"/>
          <w:spacing w:val="-2"/>
        </w:rPr>
        <w:t xml:space="preserve"> </w:t>
      </w:r>
    </w:p>
    <w:p w14:paraId="77B06452" w14:textId="77777777" w:rsidR="00897EFD" w:rsidRPr="005B0C57" w:rsidRDefault="00897EFD" w:rsidP="008254F4">
      <w:pPr>
        <w:pStyle w:val="BodyTextIndent"/>
        <w:ind w:left="360" w:right="360" w:firstLine="0"/>
        <w:rPr>
          <w:rFonts w:ascii="Palatino Linotype" w:hAnsi="Palatino Linotype" w:cs="Arial"/>
          <w:spacing w:val="-2"/>
        </w:rPr>
      </w:pPr>
    </w:p>
    <w:p w14:paraId="4505A6E8" w14:textId="77777777" w:rsidR="00897EFD" w:rsidRPr="005B0C57" w:rsidRDefault="00897EFD" w:rsidP="008254F4">
      <w:pPr>
        <w:pStyle w:val="BodyTextIndent"/>
        <w:spacing w:line="480" w:lineRule="auto"/>
        <w:rPr>
          <w:rFonts w:ascii="Palatino Linotype" w:hAnsi="Palatino Linotype" w:cs="Arial"/>
          <w:spacing w:val="-4"/>
        </w:rPr>
      </w:pPr>
      <w:r w:rsidRPr="005B0C57">
        <w:rPr>
          <w:rFonts w:ascii="Palatino Linotype" w:hAnsi="Palatino Linotype" w:cs="Arial"/>
          <w:spacing w:val="-4"/>
        </w:rPr>
        <w:t xml:space="preserve">This </w:t>
      </w:r>
      <w:r>
        <w:rPr>
          <w:rFonts w:ascii="Palatino Linotype" w:hAnsi="Palatino Linotype" w:cs="Arial"/>
          <w:spacing w:val="-4"/>
        </w:rPr>
        <w:t xml:space="preserve">metaphysical </w:t>
      </w:r>
      <w:r w:rsidRPr="005B0C57">
        <w:rPr>
          <w:rFonts w:ascii="Palatino Linotype" w:hAnsi="Palatino Linotype" w:cs="Arial"/>
          <w:spacing w:val="-4"/>
        </w:rPr>
        <w:t>“free-will defense,” however, is combined with an Augustinian understanding of natural evil. Thomas Campb</w:t>
      </w:r>
      <w:r w:rsidR="00C9344B">
        <w:rPr>
          <w:rFonts w:ascii="Palatino Linotype" w:hAnsi="Palatino Linotype" w:cs="Arial"/>
          <w:spacing w:val="-4"/>
        </w:rPr>
        <w:t>ell, for example,</w:t>
      </w:r>
      <w:r w:rsidRPr="005B0C57">
        <w:rPr>
          <w:rFonts w:ascii="Palatino Linotype" w:hAnsi="Palatino Linotype" w:cs="Arial"/>
          <w:spacing w:val="-4"/>
        </w:rPr>
        <w:t xml:space="preserve"> affirmed that natural evils are the “just and proper results and consequences of” moral evil. They “are ordained by God as punishments, preventives, or </w:t>
      </w:r>
      <w:r w:rsidRPr="005B0C57">
        <w:rPr>
          <w:rFonts w:ascii="Palatino Linotype" w:hAnsi="Palatino Linotype" w:cs="Arial"/>
          <w:spacing w:val="-4"/>
        </w:rPr>
        <w:lastRenderedPageBreak/>
        <w:t>correctives.”</w:t>
      </w:r>
      <w:r w:rsidRPr="005B0C57">
        <w:rPr>
          <w:rStyle w:val="FootnoteReference"/>
          <w:rFonts w:ascii="Palatino Linotype" w:hAnsi="Palatino Linotype" w:cs="Arial"/>
          <w:spacing w:val="-4"/>
        </w:rPr>
        <w:footnoteReference w:id="5"/>
      </w:r>
      <w:r w:rsidRPr="005B0C57">
        <w:rPr>
          <w:rFonts w:ascii="Palatino Linotype" w:hAnsi="Palatino Linotype" w:cs="Arial"/>
          <w:spacing w:val="-4"/>
        </w:rPr>
        <w:t xml:space="preserve"> Alexander Campbell concurred: “Before the rebellion in Eden,” Alexander wrote, “</w:t>
      </w:r>
      <w:proofErr w:type="gramStart"/>
      <w:r w:rsidRPr="005B0C57">
        <w:rPr>
          <w:rFonts w:ascii="Palatino Linotype" w:hAnsi="Palatino Linotype" w:cs="Arial"/>
          <w:spacing w:val="-4"/>
        </w:rPr>
        <w:t>all</w:t>
      </w:r>
      <w:proofErr w:type="gramEnd"/>
      <w:r w:rsidRPr="005B0C57">
        <w:rPr>
          <w:rFonts w:ascii="Palatino Linotype" w:hAnsi="Palatino Linotype" w:cs="Arial"/>
          <w:spacing w:val="-4"/>
        </w:rPr>
        <w:t xml:space="preserve"> was good.” There was “no gloom, no pain, no sorrow any where. But the instant man rebelled…[</w:t>
      </w:r>
      <w:proofErr w:type="gramStart"/>
      <w:r w:rsidRPr="005B0C57">
        <w:rPr>
          <w:rFonts w:ascii="Palatino Linotype" w:hAnsi="Palatino Linotype" w:cs="Arial"/>
          <w:spacing w:val="-4"/>
        </w:rPr>
        <w:t>n]</w:t>
      </w:r>
      <w:proofErr w:type="spellStart"/>
      <w:r w:rsidRPr="005B0C57">
        <w:rPr>
          <w:rFonts w:ascii="Palatino Linotype" w:hAnsi="Palatino Linotype" w:cs="Arial"/>
          <w:spacing w:val="-4"/>
        </w:rPr>
        <w:t>ature</w:t>
      </w:r>
      <w:proofErr w:type="spellEnd"/>
      <w:proofErr w:type="gramEnd"/>
      <w:r w:rsidRPr="005B0C57">
        <w:rPr>
          <w:rFonts w:ascii="Palatino Linotype" w:hAnsi="Palatino Linotype" w:cs="Arial"/>
          <w:spacing w:val="-4"/>
        </w:rPr>
        <w:t xml:space="preserve"> was immediately diseased in all her members.”</w:t>
      </w:r>
      <w:r w:rsidRPr="005B0C57">
        <w:rPr>
          <w:rStyle w:val="FootnoteReference"/>
          <w:rFonts w:ascii="Palatino Linotype" w:hAnsi="Palatino Linotype" w:cs="Arial"/>
          <w:spacing w:val="-4"/>
        </w:rPr>
        <w:footnoteReference w:id="6"/>
      </w:r>
      <w:r w:rsidRPr="005B0C57">
        <w:rPr>
          <w:rFonts w:ascii="Palatino Linotype" w:hAnsi="Palatino Linotype" w:cs="Arial"/>
          <w:spacing w:val="-4"/>
        </w:rPr>
        <w:t xml:space="preserve"> The original sin “is the root of all this bitterness and grief. This brought death into the world, and all our woe.”</w:t>
      </w:r>
      <w:r w:rsidRPr="005B0C57">
        <w:rPr>
          <w:rStyle w:val="FootnoteReference"/>
          <w:rFonts w:ascii="Palatino Linotype" w:hAnsi="Palatino Linotype" w:cs="Arial"/>
          <w:spacing w:val="-4"/>
        </w:rPr>
        <w:footnoteReference w:id="7"/>
      </w:r>
      <w:r w:rsidRPr="005B0C57">
        <w:rPr>
          <w:rFonts w:ascii="Palatino Linotype" w:hAnsi="Palatino Linotype" w:cs="Arial"/>
          <w:spacing w:val="-4"/>
        </w:rPr>
        <w:t xml:space="preserve"> Consequently, “all the sins of all the word, and all the evils attendant on them, are developments of the sin of Adam (or of Eve,) and must be all taken into view with all the train of natural evils consequent upon them, before we can think aright of what sin is.”</w:t>
      </w:r>
      <w:r w:rsidRPr="005B0C57">
        <w:rPr>
          <w:rStyle w:val="FootnoteReference"/>
          <w:rFonts w:ascii="Palatino Linotype" w:hAnsi="Palatino Linotype" w:cs="Arial"/>
          <w:spacing w:val="-4"/>
        </w:rPr>
        <w:footnoteReference w:id="8"/>
      </w:r>
      <w:r w:rsidRPr="005B0C57">
        <w:rPr>
          <w:rFonts w:ascii="Palatino Linotype" w:hAnsi="Palatino Linotype" w:cs="Arial"/>
          <w:spacing w:val="-4"/>
        </w:rPr>
        <w:t xml:space="preserve"> Humanity inherits a “fallen, consequently sinful nature” from Adam; human nature was “corrupted by the fall of Adam.”</w:t>
      </w:r>
      <w:r w:rsidRPr="005B0C57">
        <w:rPr>
          <w:rStyle w:val="FootnoteReference"/>
          <w:rFonts w:ascii="Palatino Linotype" w:hAnsi="Palatino Linotype" w:cs="Arial"/>
          <w:spacing w:val="-4"/>
        </w:rPr>
        <w:footnoteReference w:id="9"/>
      </w:r>
      <w:r w:rsidRPr="005B0C57">
        <w:rPr>
          <w:rFonts w:ascii="Palatino Linotype" w:hAnsi="Palatino Linotype" w:cs="Arial"/>
          <w:spacing w:val="-4"/>
        </w:rPr>
        <w:t xml:space="preserve"> Moral evil, then, according to Campbell, is the result of human freedom. Natural evil is the consequence of that evil, as sin corrupted the cosmos. This is a fairly tradit</w:t>
      </w:r>
      <w:r>
        <w:rPr>
          <w:rFonts w:ascii="Palatino Linotype" w:hAnsi="Palatino Linotype" w:cs="Arial"/>
          <w:spacing w:val="-4"/>
        </w:rPr>
        <w:t>ional, classic Arminian approach to the problem of evil</w:t>
      </w:r>
      <w:r w:rsidRPr="005B0C57">
        <w:rPr>
          <w:rFonts w:ascii="Palatino Linotype" w:hAnsi="Palatino Linotype" w:cs="Arial"/>
          <w:spacing w:val="-4"/>
        </w:rPr>
        <w:t>.</w:t>
      </w:r>
      <w:r w:rsidRPr="005B0C57">
        <w:rPr>
          <w:rStyle w:val="FootnoteReference"/>
          <w:rFonts w:ascii="Palatino Linotype" w:hAnsi="Palatino Linotype" w:cs="Arial"/>
          <w:spacing w:val="-4"/>
        </w:rPr>
        <w:footnoteReference w:id="10"/>
      </w:r>
      <w:r w:rsidRPr="005B0C57">
        <w:rPr>
          <w:rFonts w:ascii="Palatino Linotype" w:hAnsi="Palatino Linotype" w:cs="Arial"/>
          <w:spacing w:val="-4"/>
        </w:rPr>
        <w:t xml:space="preserve"> </w:t>
      </w:r>
    </w:p>
    <w:p w14:paraId="04E0FBB6" w14:textId="77777777" w:rsidR="00897EFD" w:rsidRPr="00EA5F49" w:rsidRDefault="00897EFD" w:rsidP="008254F4">
      <w:pPr>
        <w:spacing w:line="480" w:lineRule="auto"/>
        <w:rPr>
          <w:i/>
        </w:rPr>
      </w:pPr>
    </w:p>
    <w:p w14:paraId="46251809" w14:textId="77777777" w:rsidR="00897EFD" w:rsidRPr="00EA5F49" w:rsidRDefault="00897EFD" w:rsidP="008254F4">
      <w:pPr>
        <w:spacing w:line="480" w:lineRule="auto"/>
        <w:rPr>
          <w:i/>
        </w:rPr>
      </w:pPr>
      <w:r w:rsidRPr="00EA5F49">
        <w:rPr>
          <w:i/>
        </w:rPr>
        <w:t>Divine Hiddenness</w:t>
      </w:r>
    </w:p>
    <w:p w14:paraId="1817DD79" w14:textId="77777777" w:rsidR="00897EFD" w:rsidRDefault="00897EFD" w:rsidP="00EA5F49">
      <w:pPr>
        <w:spacing w:line="480" w:lineRule="auto"/>
        <w:ind w:firstLine="720"/>
      </w:pPr>
      <w:proofErr w:type="spellStart"/>
      <w:r>
        <w:lastRenderedPageBreak/>
        <w:t>Schellenberg</w:t>
      </w:r>
      <w:proofErr w:type="spellEnd"/>
      <w:r>
        <w:t xml:space="preserve"> has brought the argument regarding “Divine Hiddenness” to the forefront in the last couple of decades.</w:t>
      </w:r>
      <w:r>
        <w:rPr>
          <w:rStyle w:val="FootnoteReference"/>
        </w:rPr>
        <w:footnoteReference w:id="11"/>
      </w:r>
      <w:r>
        <w:t xml:space="preserve"> The argument is not a new one, of course, as Clanton notes. Alexander Campbell deals with </w:t>
      </w:r>
      <w:r w:rsidR="00C9344B">
        <w:t xml:space="preserve">it </w:t>
      </w:r>
      <w:r>
        <w:t>though ever so briefly. Essentially, the argument suggests that if God exists, God would provide sufficient evidence that would make unbelief rationally impossible. Or, to put it another way, if God truly wants relationship with humanity or wants humanity to acknowledge divine existence, then God would demonstrate that existence in such a way that it would be nonsensical to deny it.</w:t>
      </w:r>
    </w:p>
    <w:p w14:paraId="66983A61" w14:textId="77777777" w:rsidR="00897EFD" w:rsidRDefault="00897EFD" w:rsidP="00EA5F49">
      <w:pPr>
        <w:spacing w:line="480" w:lineRule="auto"/>
        <w:ind w:firstLine="720"/>
      </w:pPr>
      <w:r>
        <w:t>Clanton identifies a place where Campbell addresses this question directly. Campbell suggests any faith (the belief of evidence) such as that suggested by the “New Harmony people…over which ‘the will has no power,’ requires that species of evidence, which is incompatible with all moral virtue and goodness, and which would make belief like the fall of one of those volcanic stones which a few months since shivered a tree a few miles from Nashville, Tennessee.” That kind of faith—which involved a rational coercion of the mind—would undermine the Gospel narrative where Jesus “resolved the infidelity of his hearers on many occasions, entirely to the will—‘You will not come to me,’ and ‘</w:t>
      </w:r>
      <w:proofErr w:type="gramStart"/>
      <w:r>
        <w:t>You</w:t>
      </w:r>
      <w:proofErr w:type="gramEnd"/>
      <w:r>
        <w:t xml:space="preserve"> would not’.”</w:t>
      </w:r>
      <w:r>
        <w:rPr>
          <w:rStyle w:val="FootnoteReference"/>
        </w:rPr>
        <w:footnoteReference w:id="12"/>
      </w:r>
      <w:r>
        <w:t xml:space="preserve"> This goes </w:t>
      </w:r>
      <w:r w:rsidR="00C9344B">
        <w:t xml:space="preserve">to </w:t>
      </w:r>
      <w:r>
        <w:t>the point that Clanton calls “epistemic orientation.”</w:t>
      </w:r>
    </w:p>
    <w:p w14:paraId="790489C1" w14:textId="77777777" w:rsidR="00897EFD" w:rsidRDefault="00897EFD" w:rsidP="002F79C4">
      <w:pPr>
        <w:spacing w:line="480" w:lineRule="auto"/>
        <w:ind w:firstLine="720"/>
      </w:pPr>
      <w:r>
        <w:t xml:space="preserve">I would suggest that there is no tension in Campbell’s where Clanton suggests there is some. Do people irrationally refrain from belief while at the same time the kind of evidence God provides is not rationally compelling in the sense of coercing the will? It seems to me that what is affirmed in denying that God’s evidence is rationally compulsory such that rational people can deny God’s existence is not inconsistent with </w:t>
      </w:r>
      <w:r>
        <w:lastRenderedPageBreak/>
        <w:t>the idea that unbelief is itself moved by irrationality. This is true because rational people do irrational things due to the movement of their wills. While their epistemic orientation may embrace rationality the movement of their wills moves them to believe something that is irrational. Whatever the case may be</w:t>
      </w:r>
      <w:proofErr w:type="gramStart"/>
      <w:r>
        <w:t>,</w:t>
      </w:r>
      <w:proofErr w:type="gramEnd"/>
      <w:r>
        <w:t xml:space="preserve"> I think Clanton could strengthen this critical comment on Campbell by more fully exploring this point.</w:t>
      </w:r>
    </w:p>
    <w:p w14:paraId="3E25AE3E" w14:textId="77777777" w:rsidR="00897EFD" w:rsidRDefault="00897EFD" w:rsidP="002F79C4">
      <w:pPr>
        <w:spacing w:line="480" w:lineRule="auto"/>
        <w:ind w:firstLine="720"/>
      </w:pPr>
      <w:r>
        <w:t xml:space="preserve">As noted above, the Divine </w:t>
      </w:r>
      <w:proofErr w:type="spellStart"/>
      <w:r>
        <w:t>Hiddeness</w:t>
      </w:r>
      <w:proofErr w:type="spellEnd"/>
      <w:r>
        <w:t xml:space="preserve"> problem is not a new one.  David Hume, for example, suggested it in his </w:t>
      </w:r>
      <w:r>
        <w:rPr>
          <w:i/>
        </w:rPr>
        <w:t xml:space="preserve">Dialogues </w:t>
      </w:r>
      <w:r>
        <w:t>(Part III). It seems to me that Pascal was on the right track in the seventeenth century when he wrote (</w:t>
      </w:r>
      <w:proofErr w:type="spellStart"/>
      <w:r w:rsidRPr="00A736FC">
        <w:rPr>
          <w:i/>
        </w:rPr>
        <w:t>Pensees</w:t>
      </w:r>
      <w:proofErr w:type="spellEnd"/>
      <w:r>
        <w:t>, 232): “We can understand nothing of God’s works unless we accept the principle that he wished to blind some and enlighten others.” In this connection, Pascal also wrote (234): “God wishes to move the will rather than the mind. Perfect clarity would help the mind and harm the will. Humble their pride.”</w:t>
      </w:r>
      <w:r>
        <w:rPr>
          <w:rStyle w:val="FootnoteReference"/>
        </w:rPr>
        <w:footnoteReference w:id="13"/>
      </w:r>
      <w:r>
        <w:t xml:space="preserve"> This goes to Campbell’s point about the moral significance of faith as an act of the will, a choice, but it is not choice without evidence. Nevertheless, it is an act of trust rather than </w:t>
      </w:r>
      <w:r w:rsidR="00C9344B">
        <w:t>epistemic</w:t>
      </w:r>
      <w:r>
        <w:t xml:space="preserve"> compulsion.</w:t>
      </w:r>
    </w:p>
    <w:p w14:paraId="469A678D" w14:textId="77777777" w:rsidR="00897EFD" w:rsidRDefault="00897EFD" w:rsidP="002F79C4">
      <w:pPr>
        <w:spacing w:line="480" w:lineRule="auto"/>
        <w:ind w:firstLine="720"/>
      </w:pPr>
    </w:p>
    <w:p w14:paraId="2C835CB2" w14:textId="77777777" w:rsidR="00897EFD" w:rsidRPr="00A736FC" w:rsidRDefault="00897EFD" w:rsidP="008254F4">
      <w:pPr>
        <w:spacing w:line="480" w:lineRule="auto"/>
        <w:rPr>
          <w:i/>
        </w:rPr>
      </w:pPr>
      <w:r w:rsidRPr="00A736FC">
        <w:rPr>
          <w:i/>
        </w:rPr>
        <w:t>Gratuitous Evil</w:t>
      </w:r>
    </w:p>
    <w:p w14:paraId="4687F5A6" w14:textId="77777777" w:rsidR="00897EFD" w:rsidRPr="00F539C4" w:rsidRDefault="00897EFD" w:rsidP="00F539C4">
      <w:pPr>
        <w:pStyle w:val="BodyTextIndent"/>
        <w:spacing w:line="480" w:lineRule="auto"/>
        <w:rPr>
          <w:rFonts w:ascii="Palatino Linotype" w:hAnsi="Palatino Linotype" w:cs="Arial"/>
          <w:spacing w:val="-2"/>
        </w:rPr>
      </w:pPr>
      <w:r w:rsidRPr="005B0C57">
        <w:rPr>
          <w:rFonts w:ascii="Palatino Linotype" w:hAnsi="Palatino Linotype" w:cs="Arial"/>
          <w:spacing w:val="-2"/>
        </w:rPr>
        <w:t xml:space="preserve">Reared in the context of Scottish Presbyterianism, Campbell’s basic theological structure is Protestant and Reformed. Within this Reformed frame, however, his Arminian soteriology </w:t>
      </w:r>
      <w:r>
        <w:rPr>
          <w:rFonts w:ascii="Palatino Linotype" w:hAnsi="Palatino Linotype" w:cs="Arial"/>
          <w:spacing w:val="-2"/>
        </w:rPr>
        <w:t xml:space="preserve">emphasized </w:t>
      </w:r>
      <w:r w:rsidRPr="005B0C57">
        <w:rPr>
          <w:rFonts w:ascii="Palatino Linotype" w:hAnsi="Palatino Linotype" w:cs="Arial"/>
          <w:spacing w:val="-2"/>
        </w:rPr>
        <w:t>human freedom</w:t>
      </w:r>
      <w:r>
        <w:rPr>
          <w:rFonts w:ascii="Palatino Linotype" w:hAnsi="Palatino Linotype" w:cs="Arial"/>
          <w:spacing w:val="-2"/>
        </w:rPr>
        <w:t xml:space="preserve"> but within a high view of divine providence</w:t>
      </w:r>
      <w:r w:rsidRPr="005B0C57">
        <w:rPr>
          <w:rFonts w:ascii="Palatino Linotype" w:hAnsi="Palatino Linotype" w:cs="Arial"/>
          <w:spacing w:val="-2"/>
        </w:rPr>
        <w:t>.</w:t>
      </w:r>
      <w:r w:rsidRPr="005B0C57">
        <w:rPr>
          <w:rStyle w:val="FootnoteReference"/>
          <w:rFonts w:ascii="Palatino Linotype" w:hAnsi="Palatino Linotype" w:cs="Arial"/>
          <w:spacing w:val="-2"/>
        </w:rPr>
        <w:footnoteReference w:id="14"/>
      </w:r>
      <w:r>
        <w:rPr>
          <w:rFonts w:ascii="Palatino Linotype" w:hAnsi="Palatino Linotype" w:cs="Arial"/>
          <w:spacing w:val="-2"/>
        </w:rPr>
        <w:t xml:space="preserve"> It is this high view of providence that grounds </w:t>
      </w:r>
      <w:r>
        <w:rPr>
          <w:rFonts w:ascii="Palatino Linotype" w:hAnsi="Palatino Linotype" w:cs="Arial"/>
          <w:spacing w:val="-2"/>
        </w:rPr>
        <w:lastRenderedPageBreak/>
        <w:t xml:space="preserve">Campbell’s “skeptical theism,” as Clanton categorizes it, regarding gratuitous evil. In this section I want to extend Clanton’s work by noting the theological—and </w:t>
      </w:r>
      <w:proofErr w:type="spellStart"/>
      <w:r>
        <w:rPr>
          <w:rFonts w:ascii="Palatino Linotype" w:hAnsi="Palatino Linotype" w:cs="Arial"/>
          <w:spacing w:val="-2"/>
        </w:rPr>
        <w:t>narratival</w:t>
      </w:r>
      <w:proofErr w:type="spellEnd"/>
      <w:r>
        <w:rPr>
          <w:rFonts w:ascii="Palatino Linotype" w:hAnsi="Palatino Linotype" w:cs="Arial"/>
          <w:spacing w:val="-2"/>
        </w:rPr>
        <w:t xml:space="preserve">—dimensions that underlie Campbell’s conviction that gratuitous evil is only apparent. </w:t>
      </w:r>
    </w:p>
    <w:p w14:paraId="68E7CB1A" w14:textId="77777777" w:rsidR="00897EFD" w:rsidRPr="005B0C57" w:rsidRDefault="00897EFD" w:rsidP="005B0C57">
      <w:pPr>
        <w:pStyle w:val="BodyTextIndent"/>
        <w:spacing w:line="480" w:lineRule="auto"/>
        <w:rPr>
          <w:rFonts w:ascii="Palatino Linotype" w:hAnsi="Palatino Linotype" w:cs="Arial"/>
          <w:spacing w:val="-2"/>
        </w:rPr>
      </w:pPr>
      <w:r w:rsidRPr="005B0C57">
        <w:rPr>
          <w:rFonts w:ascii="Palatino Linotype" w:hAnsi="Palatino Linotype" w:cs="Arial"/>
          <w:spacing w:val="-2"/>
        </w:rPr>
        <w:t xml:space="preserve">In 1833, Campbell published substantial extracts from William Sherlock’s </w:t>
      </w:r>
      <w:r w:rsidRPr="005B0C57">
        <w:rPr>
          <w:rFonts w:ascii="Palatino Linotype" w:hAnsi="Palatino Linotype" w:cs="Arial"/>
          <w:i/>
          <w:iCs/>
          <w:spacing w:val="-2"/>
        </w:rPr>
        <w:t>A Discourse Concerning the Divine Providence.</w:t>
      </w:r>
      <w:r w:rsidRPr="005B0C57">
        <w:rPr>
          <w:rStyle w:val="FootnoteReference"/>
          <w:rFonts w:ascii="Palatino Linotype" w:hAnsi="Palatino Linotype" w:cs="Arial"/>
          <w:spacing w:val="-2"/>
        </w:rPr>
        <w:footnoteReference w:id="15"/>
      </w:r>
      <w:r w:rsidRPr="005B0C57">
        <w:rPr>
          <w:rFonts w:ascii="Palatino Linotype" w:hAnsi="Palatino Linotype" w:cs="Arial"/>
          <w:spacing w:val="-2"/>
        </w:rPr>
        <w:t xml:space="preserve"> First published in 1694,</w:t>
      </w:r>
      <w:r w:rsidRPr="005B0C57">
        <w:rPr>
          <w:rStyle w:val="FootnoteReference"/>
          <w:rFonts w:ascii="Palatino Linotype" w:hAnsi="Palatino Linotype" w:cs="Arial"/>
          <w:spacing w:val="-2"/>
        </w:rPr>
        <w:footnoteReference w:id="16"/>
      </w:r>
      <w:r w:rsidRPr="005B0C57">
        <w:rPr>
          <w:rFonts w:ascii="Palatino Linotype" w:hAnsi="Palatino Linotype" w:cs="Arial"/>
          <w:spacing w:val="-2"/>
        </w:rPr>
        <w:t xml:space="preserve"> it had been reprinted for the Methodist Episcopal Church in 1823.</w:t>
      </w:r>
      <w:r w:rsidRPr="005B0C57">
        <w:rPr>
          <w:rStyle w:val="FootnoteReference"/>
          <w:rFonts w:ascii="Palatino Linotype" w:hAnsi="Palatino Linotype" w:cs="Arial"/>
          <w:spacing w:val="-2"/>
        </w:rPr>
        <w:footnoteReference w:id="17"/>
      </w:r>
      <w:r w:rsidRPr="005B0C57">
        <w:rPr>
          <w:rFonts w:ascii="Palatino Linotype" w:hAnsi="Palatino Linotype" w:cs="Arial"/>
          <w:spacing w:val="-2"/>
        </w:rPr>
        <w:t xml:space="preserve"> Dean of St. Paul’s Church in London in the late seventeenth century, Sherlock represented a moderate Anglican </w:t>
      </w:r>
      <w:proofErr w:type="spellStart"/>
      <w:r w:rsidRPr="005B0C57">
        <w:rPr>
          <w:rFonts w:ascii="Palatino Linotype" w:hAnsi="Palatino Linotype" w:cs="Arial"/>
          <w:spacing w:val="-2"/>
        </w:rPr>
        <w:t>Arminianism</w:t>
      </w:r>
      <w:proofErr w:type="spellEnd"/>
      <w:r w:rsidRPr="005B0C57">
        <w:rPr>
          <w:rFonts w:ascii="Palatino Linotype" w:hAnsi="Palatino Linotype" w:cs="Arial"/>
          <w:spacing w:val="-2"/>
        </w:rPr>
        <w:t xml:space="preserve"> with a rather traditional theology of meticulous providence</w:t>
      </w:r>
      <w:r>
        <w:rPr>
          <w:rFonts w:ascii="Palatino Linotype" w:hAnsi="Palatino Linotype" w:cs="Arial"/>
          <w:spacing w:val="-2"/>
        </w:rPr>
        <w:t>,</w:t>
      </w:r>
      <w:r>
        <w:rPr>
          <w:rStyle w:val="FootnoteReference"/>
          <w:rFonts w:ascii="Palatino Linotype" w:hAnsi="Palatino Linotype"/>
          <w:spacing w:val="-2"/>
        </w:rPr>
        <w:footnoteReference w:id="18"/>
      </w:r>
      <w:r>
        <w:rPr>
          <w:rFonts w:ascii="Palatino Linotype" w:hAnsi="Palatino Linotype" w:cs="Arial"/>
          <w:spacing w:val="-2"/>
        </w:rPr>
        <w:t xml:space="preserve"> that is, a providence that governs every even</w:t>
      </w:r>
      <w:r w:rsidR="00C9344B">
        <w:rPr>
          <w:rFonts w:ascii="Palatino Linotype" w:hAnsi="Palatino Linotype" w:cs="Arial"/>
          <w:spacing w:val="-2"/>
        </w:rPr>
        <w:t>t</w:t>
      </w:r>
      <w:r>
        <w:rPr>
          <w:rFonts w:ascii="Palatino Linotype" w:hAnsi="Palatino Linotype" w:cs="Arial"/>
          <w:spacing w:val="-2"/>
        </w:rPr>
        <w:t xml:space="preserve"> in such a way that God directs it towards its proper end or goal</w:t>
      </w:r>
      <w:r w:rsidRPr="005B0C57">
        <w:rPr>
          <w:rFonts w:ascii="Palatino Linotype" w:hAnsi="Palatino Linotype" w:cs="Arial"/>
          <w:spacing w:val="-2"/>
        </w:rPr>
        <w:t xml:space="preserve">. Sherlock attempted to steer a middle </w:t>
      </w:r>
      <w:r w:rsidRPr="005B0C57">
        <w:rPr>
          <w:rFonts w:ascii="Palatino Linotype" w:hAnsi="Palatino Linotype" w:cs="Arial"/>
          <w:spacing w:val="-2"/>
        </w:rPr>
        <w:lastRenderedPageBreak/>
        <w:t>course between Deism and Calvinism</w:t>
      </w:r>
      <w:r>
        <w:rPr>
          <w:rFonts w:ascii="Palatino Linotype" w:hAnsi="Palatino Linotype" w:cs="Arial"/>
          <w:spacing w:val="-2"/>
        </w:rPr>
        <w:t xml:space="preserve">, between a divine </w:t>
      </w:r>
      <w:r w:rsidRPr="00F539C4">
        <w:rPr>
          <w:rFonts w:ascii="Palatino Linotype" w:hAnsi="Palatino Linotype" w:cs="Arial"/>
          <w:i/>
          <w:spacing w:val="-2"/>
        </w:rPr>
        <w:t>laissez faire</w:t>
      </w:r>
      <w:r>
        <w:rPr>
          <w:rFonts w:ascii="Palatino Linotype" w:hAnsi="Palatino Linotype" w:cs="Arial"/>
          <w:spacing w:val="-2"/>
        </w:rPr>
        <w:t xml:space="preserve"> and theological determinism</w:t>
      </w:r>
      <w:r w:rsidRPr="005B0C57">
        <w:rPr>
          <w:rFonts w:ascii="Palatino Linotype" w:hAnsi="Palatino Linotype" w:cs="Arial"/>
          <w:spacing w:val="-2"/>
        </w:rPr>
        <w:t>. Campbell endorsed Sherlock’s views:</w:t>
      </w:r>
      <w:r w:rsidRPr="005B0C57">
        <w:rPr>
          <w:rStyle w:val="FootnoteReference"/>
          <w:rFonts w:ascii="Palatino Linotype" w:hAnsi="Palatino Linotype" w:cs="Arial"/>
          <w:spacing w:val="-2"/>
        </w:rPr>
        <w:footnoteReference w:id="19"/>
      </w:r>
    </w:p>
    <w:p w14:paraId="1F679092" w14:textId="77777777" w:rsidR="00897EFD" w:rsidRDefault="00897EFD" w:rsidP="005B0C57">
      <w:pPr>
        <w:pStyle w:val="BodyTextIndent"/>
        <w:ind w:left="360" w:right="360" w:firstLine="0"/>
        <w:rPr>
          <w:rFonts w:ascii="Palatino Linotype" w:hAnsi="Palatino Linotype" w:cs="Arial"/>
          <w:spacing w:val="-2"/>
        </w:rPr>
      </w:pPr>
      <w:r w:rsidRPr="005B0C57">
        <w:rPr>
          <w:rFonts w:ascii="Palatino Linotype" w:hAnsi="Palatino Linotype" w:cs="Arial"/>
          <w:spacing w:val="-2"/>
        </w:rPr>
        <w:t xml:space="preserve">Your commendations of Sherlock I think are well deserved. They are not exaggerated. He is a writer of good sense, and has chosen a very interesting subject. As far as I have perused his work, it appears to be well adapted to refute the </w:t>
      </w:r>
      <w:proofErr w:type="spellStart"/>
      <w:r w:rsidRPr="005B0C57">
        <w:rPr>
          <w:rFonts w:ascii="Palatino Linotype" w:hAnsi="Palatino Linotype" w:cs="Arial"/>
          <w:spacing w:val="-2"/>
        </w:rPr>
        <w:t>scepticism</w:t>
      </w:r>
      <w:proofErr w:type="spellEnd"/>
      <w:r w:rsidRPr="005B0C57">
        <w:rPr>
          <w:rFonts w:ascii="Palatino Linotype" w:hAnsi="Palatino Linotype" w:cs="Arial"/>
          <w:spacing w:val="-2"/>
        </w:rPr>
        <w:t xml:space="preserve"> of some professors on the doctrine of special providence. It would be well if our </w:t>
      </w:r>
      <w:proofErr w:type="spellStart"/>
      <w:r w:rsidRPr="005B0C57">
        <w:rPr>
          <w:rFonts w:ascii="Palatino Linotype" w:hAnsi="Palatino Linotype" w:cs="Arial"/>
          <w:spacing w:val="-2"/>
        </w:rPr>
        <w:t>philosophists</w:t>
      </w:r>
      <w:proofErr w:type="spellEnd"/>
      <w:r w:rsidRPr="005B0C57">
        <w:rPr>
          <w:rFonts w:ascii="Palatino Linotype" w:hAnsi="Palatino Linotype" w:cs="Arial"/>
          <w:spacing w:val="-2"/>
        </w:rPr>
        <w:t>, who disbelieve the superintending care of the Almighty Father, would give Sherlock a candid hearing.</w:t>
      </w:r>
      <w:r w:rsidRPr="005B0C57">
        <w:rPr>
          <w:rStyle w:val="FootnoteReference"/>
          <w:rFonts w:ascii="Palatino Linotype" w:hAnsi="Palatino Linotype" w:cs="Arial"/>
          <w:spacing w:val="-2"/>
        </w:rPr>
        <w:footnoteReference w:id="20"/>
      </w:r>
      <w:r w:rsidRPr="005B0C57">
        <w:rPr>
          <w:rFonts w:ascii="Palatino Linotype" w:hAnsi="Palatino Linotype" w:cs="Arial"/>
          <w:spacing w:val="-2"/>
        </w:rPr>
        <w:t xml:space="preserve"> </w:t>
      </w:r>
    </w:p>
    <w:p w14:paraId="6321E8A2" w14:textId="77777777" w:rsidR="00897EFD" w:rsidRPr="005B0C57" w:rsidRDefault="00897EFD" w:rsidP="005B0C57">
      <w:pPr>
        <w:pStyle w:val="BodyTextIndent"/>
        <w:ind w:left="360" w:right="360" w:firstLine="0"/>
        <w:rPr>
          <w:rFonts w:ascii="Palatino Linotype" w:hAnsi="Palatino Linotype" w:cs="Arial"/>
          <w:spacing w:val="-2"/>
        </w:rPr>
      </w:pPr>
    </w:p>
    <w:p w14:paraId="26E68684" w14:textId="77777777" w:rsidR="00897EFD" w:rsidRPr="005B0C57" w:rsidRDefault="00897EFD" w:rsidP="005B0C57">
      <w:pPr>
        <w:pStyle w:val="BodyTextIndent"/>
        <w:spacing w:line="480" w:lineRule="auto"/>
        <w:rPr>
          <w:rFonts w:ascii="Palatino Linotype" w:hAnsi="Palatino Linotype" w:cs="Arial"/>
          <w:spacing w:val="-2"/>
        </w:rPr>
      </w:pPr>
      <w:r w:rsidRPr="005B0C57">
        <w:rPr>
          <w:rFonts w:ascii="Palatino Linotype" w:hAnsi="Palatino Linotype" w:cs="Arial"/>
          <w:spacing w:val="-2"/>
        </w:rPr>
        <w:t xml:space="preserve">Campbell’s traditional understanding is clear when he speaks of “special providence”: “They who admit a general providence, and, at the same time deny a special providence, are feeble and perverted </w:t>
      </w:r>
      <w:proofErr w:type="spellStart"/>
      <w:r w:rsidRPr="005B0C57">
        <w:rPr>
          <w:rFonts w:ascii="Palatino Linotype" w:hAnsi="Palatino Linotype" w:cs="Arial"/>
          <w:spacing w:val="-2"/>
        </w:rPr>
        <w:t>reasoners</w:t>
      </w:r>
      <w:proofErr w:type="spellEnd"/>
      <w:r w:rsidRPr="005B0C57">
        <w:rPr>
          <w:rFonts w:ascii="Palatino Linotype" w:hAnsi="Palatino Linotype" w:cs="Arial"/>
          <w:spacing w:val="-2"/>
        </w:rPr>
        <w:t xml:space="preserve"> and thinkers.”</w:t>
      </w:r>
      <w:r w:rsidRPr="005B0C57">
        <w:rPr>
          <w:rStyle w:val="FootnoteReference"/>
          <w:rFonts w:ascii="Palatino Linotype" w:hAnsi="Palatino Linotype" w:cs="Arial"/>
          <w:spacing w:val="-2"/>
        </w:rPr>
        <w:footnoteReference w:id="21"/>
      </w:r>
      <w:r w:rsidRPr="005B0C57">
        <w:rPr>
          <w:rFonts w:ascii="Palatino Linotype" w:hAnsi="Palatino Linotype" w:cs="Arial"/>
          <w:spacing w:val="-2"/>
        </w:rPr>
        <w:t xml:space="preserve"> In the face of deists and rationalistic speculators, Campbell advises us to “place our hand upon our lips and be still.”</w:t>
      </w:r>
      <w:r w:rsidRPr="005B0C57">
        <w:rPr>
          <w:rStyle w:val="FootnoteReference"/>
          <w:rFonts w:ascii="Palatino Linotype" w:hAnsi="Palatino Linotype" w:cs="Arial"/>
          <w:spacing w:val="-2"/>
        </w:rPr>
        <w:footnoteReference w:id="22"/>
      </w:r>
      <w:r w:rsidRPr="005B0C57">
        <w:rPr>
          <w:rFonts w:ascii="Palatino Linotype" w:hAnsi="Palatino Linotype" w:cs="Arial"/>
          <w:spacing w:val="-2"/>
        </w:rPr>
        <w:t xml:space="preserve"> </w:t>
      </w:r>
    </w:p>
    <w:p w14:paraId="74C32C7F" w14:textId="77777777" w:rsidR="00897EFD" w:rsidRPr="005B0C57" w:rsidRDefault="00897EFD" w:rsidP="005B0C57">
      <w:pPr>
        <w:pStyle w:val="BodyTextIndent"/>
        <w:spacing w:line="480" w:lineRule="auto"/>
        <w:rPr>
          <w:rFonts w:ascii="Palatino Linotype" w:hAnsi="Palatino Linotype" w:cs="Arial"/>
          <w:spacing w:val="-2"/>
        </w:rPr>
      </w:pPr>
      <w:r w:rsidRPr="005B0C57">
        <w:rPr>
          <w:rFonts w:ascii="Palatino Linotype" w:hAnsi="Palatino Linotype" w:cs="Arial"/>
          <w:spacing w:val="-2"/>
        </w:rPr>
        <w:t>Campbell’s pedagogical example is the story of Joseph, which is filled with “apparent contingencies.”</w:t>
      </w:r>
      <w:r w:rsidRPr="005B0C57">
        <w:rPr>
          <w:rStyle w:val="FootnoteReference"/>
          <w:rFonts w:ascii="Palatino Linotype" w:hAnsi="Palatino Linotype" w:cs="Arial"/>
          <w:spacing w:val="-2"/>
        </w:rPr>
        <w:footnoteReference w:id="23"/>
      </w:r>
      <w:r w:rsidRPr="005B0C57">
        <w:rPr>
          <w:rFonts w:ascii="Palatino Linotype" w:hAnsi="Palatino Linotype" w:cs="Arial"/>
          <w:spacing w:val="-2"/>
        </w:rPr>
        <w:t xml:space="preserve"> While Campbell spoke of “chance,” he used it only </w:t>
      </w:r>
      <w:proofErr w:type="spellStart"/>
      <w:r w:rsidRPr="005B0C57">
        <w:rPr>
          <w:rFonts w:ascii="Palatino Linotype" w:hAnsi="Palatino Linotype" w:cs="Arial"/>
          <w:spacing w:val="-2"/>
        </w:rPr>
        <w:t>accomodatively</w:t>
      </w:r>
      <w:proofErr w:type="spellEnd"/>
      <w:r w:rsidRPr="005B0C57">
        <w:rPr>
          <w:rFonts w:ascii="Palatino Linotype" w:hAnsi="Palatino Linotype" w:cs="Arial"/>
          <w:spacing w:val="-2"/>
        </w:rPr>
        <w:t xml:space="preserve">, that is, “Whatever occurs, the cause or instrument of which we do not perceive, is said to happen, or to come by chance.” But “in the strict sense of </w:t>
      </w:r>
      <w:r w:rsidRPr="005B0C57">
        <w:rPr>
          <w:rFonts w:ascii="Palatino Linotype" w:hAnsi="Palatino Linotype" w:cs="Arial"/>
          <w:spacing w:val="-2"/>
        </w:rPr>
        <w:lastRenderedPageBreak/>
        <w:t>the word chance, as respects God, there is no such thing.”</w:t>
      </w:r>
      <w:r w:rsidRPr="005B0C57">
        <w:rPr>
          <w:rStyle w:val="FootnoteReference"/>
          <w:rFonts w:ascii="Palatino Linotype" w:hAnsi="Palatino Linotype" w:cs="Arial"/>
          <w:spacing w:val="-2"/>
        </w:rPr>
        <w:footnoteReference w:id="24"/>
      </w:r>
      <w:r w:rsidRPr="005B0C57">
        <w:rPr>
          <w:rFonts w:ascii="Palatino Linotype" w:hAnsi="Palatino Linotype" w:cs="Arial"/>
          <w:spacing w:val="-2"/>
        </w:rPr>
        <w:t xml:space="preserve"> “Blind fortune” and “good luck” are the “creatures of Pagan imagination” and are “wholly incompatible with Christian sentiment and style.”</w:t>
      </w:r>
      <w:r w:rsidRPr="005B0C57">
        <w:rPr>
          <w:rStyle w:val="FootnoteReference"/>
          <w:rFonts w:ascii="Palatino Linotype" w:hAnsi="Palatino Linotype" w:cs="Arial"/>
          <w:spacing w:val="-2"/>
        </w:rPr>
        <w:footnoteReference w:id="25"/>
      </w:r>
      <w:r w:rsidRPr="005B0C57">
        <w:rPr>
          <w:rFonts w:ascii="Palatino Linotype" w:hAnsi="Palatino Linotype" w:cs="Arial"/>
          <w:spacing w:val="-2"/>
        </w:rPr>
        <w:t xml:space="preserve"> Our histories, like Joseph’s, are filled with “links of chain of designs” which terminate “in the eternal destiny of the world.”</w:t>
      </w:r>
      <w:r w:rsidRPr="005B0C57">
        <w:rPr>
          <w:rStyle w:val="FootnoteReference"/>
          <w:rFonts w:ascii="Palatino Linotype" w:hAnsi="Palatino Linotype" w:cs="Arial"/>
          <w:spacing w:val="-2"/>
        </w:rPr>
        <w:footnoteReference w:id="26"/>
      </w:r>
      <w:r w:rsidRPr="005B0C57">
        <w:rPr>
          <w:rFonts w:ascii="Palatino Linotype" w:hAnsi="Palatino Linotype" w:cs="Arial"/>
          <w:spacing w:val="-2"/>
        </w:rPr>
        <w:t xml:space="preserve"> Indeed, “in this life many of our so-called misfortunes are the choicest blessings, and all things do work together for good to them who love God and keep his commandments.”</w:t>
      </w:r>
      <w:r w:rsidRPr="005B0C57">
        <w:rPr>
          <w:rStyle w:val="FootnoteReference"/>
          <w:rFonts w:ascii="Palatino Linotype" w:hAnsi="Palatino Linotype" w:cs="Arial"/>
          <w:spacing w:val="-2"/>
        </w:rPr>
        <w:footnoteReference w:id="27"/>
      </w:r>
      <w:r w:rsidRPr="005B0C57">
        <w:rPr>
          <w:rFonts w:ascii="Palatino Linotype" w:hAnsi="Palatino Linotype" w:cs="Arial"/>
          <w:spacing w:val="-2"/>
        </w:rPr>
        <w:t xml:space="preserve"> Providence is benevolent, Campbell believed, even in misfortunes; he was careful to note, however, that none of this undermines human moral freedom. Special providence does not conflict with the “freedom of thought, of speech, or of action, in any issue involving or controlling the moral character or the eternal destiny of any man.”</w:t>
      </w:r>
      <w:r w:rsidRPr="005B0C57">
        <w:rPr>
          <w:rStyle w:val="FootnoteReference"/>
          <w:rFonts w:ascii="Palatino Linotype" w:hAnsi="Palatino Linotype" w:cs="Arial"/>
          <w:spacing w:val="-2"/>
        </w:rPr>
        <w:footnoteReference w:id="28"/>
      </w:r>
    </w:p>
    <w:p w14:paraId="7E8F0D54" w14:textId="77777777" w:rsidR="00897EFD" w:rsidRPr="005B0C57" w:rsidRDefault="00897EFD" w:rsidP="005B0C57">
      <w:pPr>
        <w:pStyle w:val="BodyTextIndent"/>
        <w:spacing w:line="480" w:lineRule="auto"/>
        <w:rPr>
          <w:rFonts w:ascii="Palatino Linotype" w:hAnsi="Palatino Linotype" w:cs="Arial"/>
          <w:spacing w:val="-4"/>
        </w:rPr>
      </w:pPr>
      <w:r w:rsidRPr="005B0C57">
        <w:rPr>
          <w:rFonts w:ascii="Palatino Linotype" w:hAnsi="Palatino Linotype" w:cs="Arial"/>
          <w:spacing w:val="-4"/>
        </w:rPr>
        <w:t>Campbell’s understanding of special providence includes the death of infants and good men. In 1847, Campbell wrote on the mystery of providence in response to the death of several young ministers. He opined that God has a role for the “disembodied spirits of men” after death—they are his ministers, like angels.</w:t>
      </w:r>
      <w:r w:rsidRPr="005B0C57">
        <w:rPr>
          <w:rStyle w:val="FootnoteReference"/>
          <w:rFonts w:ascii="Palatino Linotype" w:hAnsi="Palatino Linotype" w:cs="Arial"/>
          <w:spacing w:val="-4"/>
        </w:rPr>
        <w:footnoteReference w:id="29"/>
      </w:r>
      <w:r w:rsidRPr="005B0C57">
        <w:rPr>
          <w:rFonts w:ascii="Palatino Linotype" w:hAnsi="Palatino Linotype" w:cs="Arial"/>
          <w:spacing w:val="-4"/>
        </w:rPr>
        <w:t xml:space="preserve"> Indeed, he surmised that “the Lord may need the services of infants and adults, and </w:t>
      </w:r>
      <w:r w:rsidRPr="005B0C57">
        <w:rPr>
          <w:rFonts w:ascii="Palatino Linotype" w:hAnsi="Palatino Linotype" w:cs="Arial"/>
          <w:spacing w:val="-4"/>
        </w:rPr>
        <w:lastRenderedPageBreak/>
        <w:t>that for this purpose he often selects the purest and the best of our race and calls them hence to minister in his hosts of light, in other fields of labor, according to the wants of his vast dominions.”</w:t>
      </w:r>
      <w:r w:rsidRPr="005B0C57">
        <w:rPr>
          <w:rStyle w:val="FootnoteReference"/>
          <w:rFonts w:ascii="Palatino Linotype" w:hAnsi="Palatino Linotype" w:cs="Arial"/>
          <w:spacing w:val="-4"/>
        </w:rPr>
        <w:footnoteReference w:id="30"/>
      </w:r>
      <w:r w:rsidRPr="005B0C57">
        <w:rPr>
          <w:rFonts w:ascii="Palatino Linotype" w:hAnsi="Palatino Linotype" w:cs="Arial"/>
          <w:spacing w:val="-4"/>
        </w:rPr>
        <w:t xml:space="preserve"> God’s special providence includes the time of death, at least for some.</w:t>
      </w:r>
    </w:p>
    <w:p w14:paraId="50FF3FD5" w14:textId="77777777" w:rsidR="00897EFD" w:rsidRPr="005B0C57" w:rsidRDefault="00897EFD" w:rsidP="005B0C57">
      <w:pPr>
        <w:pStyle w:val="BodyTextIndent"/>
        <w:spacing w:line="480" w:lineRule="auto"/>
        <w:rPr>
          <w:rFonts w:ascii="Palatino Linotype" w:hAnsi="Palatino Linotype" w:cs="Arial"/>
          <w:spacing w:val="-4"/>
        </w:rPr>
      </w:pPr>
      <w:r w:rsidRPr="005B0C57">
        <w:rPr>
          <w:rFonts w:ascii="Palatino Linotype" w:hAnsi="Palatino Linotype" w:cs="Arial"/>
          <w:spacing w:val="-4"/>
        </w:rPr>
        <w:t>Campbell was explicit about the role of angels in special providence. While God’s ministry is not carried out “exclusively” by angels, Campbell nevertheless affirmed, “I do believe that much has been done, and still is done by them.”</w:t>
      </w:r>
      <w:r w:rsidRPr="005B0C57">
        <w:rPr>
          <w:rStyle w:val="FootnoteReference"/>
          <w:rFonts w:ascii="Palatino Linotype" w:hAnsi="Palatino Linotype" w:cs="Arial"/>
          <w:spacing w:val="-4"/>
        </w:rPr>
        <w:footnoteReference w:id="31"/>
      </w:r>
      <w:r w:rsidRPr="005B0C57">
        <w:rPr>
          <w:rFonts w:ascii="Palatino Linotype" w:hAnsi="Palatino Linotype" w:cs="Arial"/>
          <w:spacing w:val="-4"/>
        </w:rPr>
        <w:t xml:space="preserve"> Campbell’s </w:t>
      </w:r>
      <w:proofErr w:type="spellStart"/>
      <w:r w:rsidRPr="005B0C57">
        <w:rPr>
          <w:rFonts w:ascii="Palatino Linotype" w:hAnsi="Palatino Linotype" w:cs="Arial"/>
          <w:spacing w:val="-4"/>
        </w:rPr>
        <w:t>Lockean</w:t>
      </w:r>
      <w:proofErr w:type="spellEnd"/>
      <w:r w:rsidRPr="005B0C57">
        <w:rPr>
          <w:rFonts w:ascii="Palatino Linotype" w:hAnsi="Palatino Linotype" w:cs="Arial"/>
          <w:spacing w:val="-4"/>
        </w:rPr>
        <w:t xml:space="preserve"> epistemology meant that angels could influence human beings only through the five senses. Hence angels take on empirical form in order to influence events and persuade human thinking. He supposed that angels, whether good or bad, influence human beings to good or evil. They do this in a variety of ways: </w:t>
      </w:r>
    </w:p>
    <w:p w14:paraId="6B40B301" w14:textId="77777777" w:rsidR="00897EFD" w:rsidRDefault="00897EFD" w:rsidP="006D0C2F">
      <w:pPr>
        <w:pStyle w:val="BodyTextIndent"/>
        <w:ind w:left="720" w:right="360" w:firstLine="0"/>
        <w:rPr>
          <w:rFonts w:ascii="Palatino Linotype" w:hAnsi="Palatino Linotype" w:cs="Arial"/>
          <w:spacing w:val="-2"/>
        </w:rPr>
      </w:pPr>
      <w:r w:rsidRPr="005B0C57">
        <w:rPr>
          <w:rFonts w:ascii="Palatino Linotype" w:hAnsi="Palatino Linotype" w:cs="Arial"/>
          <w:spacing w:val="-2"/>
        </w:rPr>
        <w:t>…</w:t>
      </w:r>
      <w:proofErr w:type="gramStart"/>
      <w:r w:rsidRPr="005B0C57">
        <w:rPr>
          <w:rFonts w:ascii="Palatino Linotype" w:hAnsi="Palatino Linotype" w:cs="Arial"/>
          <w:spacing w:val="-2"/>
        </w:rPr>
        <w:t>assuming</w:t>
      </w:r>
      <w:proofErr w:type="gramEnd"/>
      <w:r w:rsidRPr="005B0C57">
        <w:rPr>
          <w:rFonts w:ascii="Palatino Linotype" w:hAnsi="Palatino Linotype" w:cs="Arial"/>
          <w:spacing w:val="-2"/>
        </w:rPr>
        <w:t xml:space="preserve"> a form of some sort—the form of a man—of any creature—of a thought—of a word, and by presenting it to the outward senses; or by an acquaintance with our associations of ideas, our modes of reasoning, our passions, our appetites, our propensities—and by approaching us through these avenues, they lead us backwards or forwards, to the right or to the left, as their designs may require….It is more than possible—it is probable.</w:t>
      </w:r>
      <w:r w:rsidRPr="005B0C57">
        <w:rPr>
          <w:rStyle w:val="FootnoteReference"/>
          <w:rFonts w:ascii="Palatino Linotype" w:hAnsi="Palatino Linotype" w:cs="Arial"/>
          <w:spacing w:val="-2"/>
        </w:rPr>
        <w:footnoteReference w:id="32"/>
      </w:r>
    </w:p>
    <w:p w14:paraId="2C202B65" w14:textId="77777777" w:rsidR="00897EFD" w:rsidRPr="005B0C57" w:rsidRDefault="00897EFD" w:rsidP="005B0C57">
      <w:pPr>
        <w:pStyle w:val="BodyTextIndent"/>
        <w:ind w:left="360" w:right="360" w:firstLine="0"/>
        <w:rPr>
          <w:rFonts w:ascii="Palatino Linotype" w:hAnsi="Palatino Linotype" w:cs="Arial"/>
          <w:spacing w:val="-2"/>
        </w:rPr>
      </w:pPr>
    </w:p>
    <w:p w14:paraId="692D893F" w14:textId="77777777" w:rsidR="00897EFD" w:rsidRDefault="00897EFD" w:rsidP="005B0C57">
      <w:pPr>
        <w:pStyle w:val="BodyTextIndent"/>
        <w:rPr>
          <w:rFonts w:ascii="Palatino Linotype" w:hAnsi="Palatino Linotype" w:cs="Arial"/>
          <w:spacing w:val="-2"/>
        </w:rPr>
      </w:pPr>
      <w:r w:rsidRPr="005B0C57">
        <w:rPr>
          <w:rFonts w:ascii="Palatino Linotype" w:hAnsi="Palatino Linotype" w:cs="Arial"/>
          <w:spacing w:val="-2"/>
        </w:rPr>
        <w:t>Campbell extended this influence not only to angels but also to natural evils:</w:t>
      </w:r>
    </w:p>
    <w:p w14:paraId="12F721A3" w14:textId="77777777" w:rsidR="00897EFD" w:rsidRPr="005B0C57" w:rsidRDefault="00897EFD" w:rsidP="005B0C57">
      <w:pPr>
        <w:pStyle w:val="BodyTextIndent"/>
        <w:rPr>
          <w:rFonts w:ascii="Palatino Linotype" w:hAnsi="Palatino Linotype" w:cs="Arial"/>
          <w:spacing w:val="-2"/>
        </w:rPr>
      </w:pPr>
    </w:p>
    <w:p w14:paraId="2DD22556" w14:textId="77777777" w:rsidR="00897EFD" w:rsidRDefault="00897EFD" w:rsidP="006D0C2F">
      <w:pPr>
        <w:pStyle w:val="BodyTextIndent"/>
        <w:ind w:left="720" w:right="360" w:firstLine="0"/>
        <w:rPr>
          <w:rFonts w:ascii="Palatino Linotype" w:hAnsi="Palatino Linotype" w:cs="Arial"/>
          <w:spacing w:val="-2"/>
        </w:rPr>
      </w:pPr>
      <w:r w:rsidRPr="005B0C57">
        <w:rPr>
          <w:rFonts w:ascii="Palatino Linotype" w:hAnsi="Palatino Linotype" w:cs="Arial"/>
          <w:spacing w:val="-2"/>
        </w:rPr>
        <w:lastRenderedPageBreak/>
        <w:t xml:space="preserve">I limit not human agency, nor angelic agency, nor divine agency in the government of the world; in providence, general or special; nor in the power of circumstances to arrest the attention and to fix the mind upon the arguments and </w:t>
      </w:r>
      <w:proofErr w:type="gramStart"/>
      <w:r w:rsidRPr="005B0C57">
        <w:rPr>
          <w:rFonts w:ascii="Palatino Linotype" w:hAnsi="Palatino Linotype" w:cs="Arial"/>
          <w:spacing w:val="-2"/>
        </w:rPr>
        <w:t>motives which</w:t>
      </w:r>
      <w:proofErr w:type="gramEnd"/>
      <w:r w:rsidRPr="005B0C57">
        <w:rPr>
          <w:rFonts w:ascii="Palatino Linotype" w:hAnsi="Palatino Linotype" w:cs="Arial"/>
          <w:spacing w:val="-2"/>
        </w:rPr>
        <w:t xml:space="preserve"> give to the gospel its potency over the mind of man. Men, good and bad, evil spirits, angels, dreams, pestilences, earthquakes, sudden deaths, personal and family afflictions, may become occasions of conversions to God.</w:t>
      </w:r>
      <w:r w:rsidRPr="005B0C57">
        <w:rPr>
          <w:rStyle w:val="FootnoteReference"/>
          <w:rFonts w:ascii="Palatino Linotype" w:hAnsi="Palatino Linotype" w:cs="Arial"/>
          <w:spacing w:val="-2"/>
        </w:rPr>
        <w:footnoteReference w:id="33"/>
      </w:r>
      <w:r w:rsidRPr="005B0C57">
        <w:rPr>
          <w:rFonts w:ascii="Palatino Linotype" w:hAnsi="Palatino Linotype" w:cs="Arial"/>
          <w:spacing w:val="-2"/>
        </w:rPr>
        <w:t xml:space="preserve"> </w:t>
      </w:r>
    </w:p>
    <w:p w14:paraId="71EF13C7" w14:textId="77777777" w:rsidR="00897EFD" w:rsidRPr="005B0C57" w:rsidRDefault="00897EFD" w:rsidP="005B0C57">
      <w:pPr>
        <w:pStyle w:val="BodyTextIndent"/>
        <w:ind w:left="360" w:right="360" w:firstLine="0"/>
        <w:rPr>
          <w:rFonts w:ascii="Palatino Linotype" w:hAnsi="Palatino Linotype" w:cs="Arial"/>
          <w:spacing w:val="-2"/>
        </w:rPr>
      </w:pPr>
    </w:p>
    <w:p w14:paraId="7BD6BAB1" w14:textId="77777777" w:rsidR="00897EFD" w:rsidRDefault="00897EFD" w:rsidP="005B0C57">
      <w:pPr>
        <w:pStyle w:val="BodyTextIndent"/>
        <w:spacing w:line="480" w:lineRule="auto"/>
        <w:rPr>
          <w:rFonts w:ascii="Palatino Linotype" w:hAnsi="Palatino Linotype" w:cs="Arial"/>
          <w:spacing w:val="-2"/>
        </w:rPr>
      </w:pPr>
      <w:r w:rsidRPr="005B0C57">
        <w:rPr>
          <w:rFonts w:ascii="Palatino Linotype" w:hAnsi="Palatino Linotype" w:cs="Arial"/>
          <w:spacing w:val="-2"/>
        </w:rPr>
        <w:t xml:space="preserve">Through these direct and indirect means, God manages the world, including its evil, toward its destiny, and </w:t>
      </w:r>
      <w:r>
        <w:rPr>
          <w:rFonts w:ascii="Palatino Linotype" w:hAnsi="Palatino Linotype" w:cs="Arial"/>
          <w:spacing w:val="-2"/>
        </w:rPr>
        <w:t>God uses these means to awaken humanity to divine</w:t>
      </w:r>
      <w:r w:rsidRPr="005B0C57">
        <w:rPr>
          <w:rFonts w:ascii="Palatino Linotype" w:hAnsi="Palatino Linotype" w:cs="Arial"/>
          <w:spacing w:val="-2"/>
        </w:rPr>
        <w:t xml:space="preserve"> redemptive presence. </w:t>
      </w:r>
      <w:r w:rsidR="006D0C2F">
        <w:rPr>
          <w:rFonts w:ascii="Palatino Linotype" w:hAnsi="Palatino Linotype" w:cs="Arial"/>
          <w:spacing w:val="-2"/>
        </w:rPr>
        <w:t xml:space="preserve"> His theology of providence denies gratuitous evil.</w:t>
      </w:r>
    </w:p>
    <w:p w14:paraId="77C50CD0" w14:textId="77777777" w:rsidR="00897EFD" w:rsidRPr="00F539C4" w:rsidRDefault="00897EFD" w:rsidP="00F539C4">
      <w:pPr>
        <w:pStyle w:val="BodyTextIndent"/>
        <w:spacing w:line="480" w:lineRule="auto"/>
        <w:ind w:firstLine="0"/>
        <w:rPr>
          <w:rFonts w:ascii="Palatino Linotype" w:hAnsi="Palatino Linotype" w:cs="Arial"/>
          <w:i/>
          <w:spacing w:val="-2"/>
        </w:rPr>
      </w:pPr>
      <w:r w:rsidRPr="00F539C4">
        <w:rPr>
          <w:rFonts w:ascii="Palatino Linotype" w:hAnsi="Palatino Linotype" w:cs="Arial"/>
          <w:i/>
          <w:spacing w:val="-2"/>
        </w:rPr>
        <w:t>Conclusion</w:t>
      </w:r>
    </w:p>
    <w:p w14:paraId="5D8972C9" w14:textId="2D3CF6B3" w:rsidR="00897EFD" w:rsidRPr="005B0C57" w:rsidRDefault="00897EFD" w:rsidP="00F539C4">
      <w:pPr>
        <w:pStyle w:val="BodyTextIndent"/>
        <w:spacing w:line="480" w:lineRule="auto"/>
        <w:rPr>
          <w:rFonts w:ascii="Palatino Linotype" w:hAnsi="Palatino Linotype" w:cs="Arial"/>
          <w:spacing w:val="-2"/>
        </w:rPr>
      </w:pPr>
      <w:r>
        <w:rPr>
          <w:rFonts w:ascii="Palatino Linotype" w:hAnsi="Palatino Linotype" w:cs="Arial"/>
          <w:spacing w:val="-2"/>
        </w:rPr>
        <w:t xml:space="preserve">Clanton’s work is impressive. His </w:t>
      </w:r>
      <w:proofErr w:type="gramStart"/>
      <w:r>
        <w:rPr>
          <w:rFonts w:ascii="Palatino Linotype" w:hAnsi="Palatino Linotype" w:cs="Arial"/>
          <w:spacing w:val="-2"/>
        </w:rPr>
        <w:t>analysis of Campbell’s ideas are</w:t>
      </w:r>
      <w:proofErr w:type="gramEnd"/>
      <w:r>
        <w:rPr>
          <w:rFonts w:ascii="Palatino Linotype" w:hAnsi="Palatino Linotype" w:cs="Arial"/>
          <w:spacing w:val="-2"/>
        </w:rPr>
        <w:t xml:space="preserve"> fair, clear</w:t>
      </w:r>
      <w:r w:rsidR="00BF707A">
        <w:rPr>
          <w:rFonts w:ascii="Palatino Linotype" w:hAnsi="Palatino Linotype" w:cs="Arial"/>
          <w:spacing w:val="-2"/>
        </w:rPr>
        <w:t>,</w:t>
      </w:r>
      <w:r>
        <w:rPr>
          <w:rFonts w:ascii="Palatino Linotype" w:hAnsi="Palatino Linotype" w:cs="Arial"/>
          <w:spacing w:val="-2"/>
        </w:rPr>
        <w:t xml:space="preserve"> and illuminating. His re</w:t>
      </w:r>
      <w:r w:rsidR="00BF707A">
        <w:rPr>
          <w:rFonts w:ascii="Palatino Linotype" w:hAnsi="Palatino Linotype" w:cs="Arial"/>
          <w:spacing w:val="-2"/>
        </w:rPr>
        <w:t>-</w:t>
      </w:r>
      <w:r>
        <w:rPr>
          <w:rFonts w:ascii="Palatino Linotype" w:hAnsi="Palatino Linotype" w:cs="Arial"/>
          <w:spacing w:val="-2"/>
        </w:rPr>
        <w:t>contextualization of Campbell’s thought is insightful. He demonstrates that C</w:t>
      </w:r>
      <w:bookmarkStart w:id="0" w:name="_GoBack"/>
      <w:bookmarkEnd w:id="0"/>
      <w:r>
        <w:rPr>
          <w:rFonts w:ascii="Palatino Linotype" w:hAnsi="Palatino Linotype" w:cs="Arial"/>
          <w:spacing w:val="-2"/>
        </w:rPr>
        <w:t xml:space="preserve">ampbell squarely faced the questions that philosophy of religion raised in the early nineteenth century. Campbell was </w:t>
      </w:r>
      <w:proofErr w:type="gramStart"/>
      <w:r>
        <w:rPr>
          <w:rFonts w:ascii="Palatino Linotype" w:hAnsi="Palatino Linotype" w:cs="Arial"/>
          <w:spacing w:val="-2"/>
        </w:rPr>
        <w:t>well-acquainted</w:t>
      </w:r>
      <w:proofErr w:type="gramEnd"/>
      <w:r>
        <w:rPr>
          <w:rFonts w:ascii="Palatino Linotype" w:hAnsi="Palatino Linotype" w:cs="Arial"/>
          <w:spacing w:val="-2"/>
        </w:rPr>
        <w:t xml:space="preserve"> with the philosophical issues of his day. Not only does this demonstrate that the Stone-Campbell Movement has its own “philosopher,” but that the philosophic tradition Campbell represented may yet still provide some guidance in our current context. And, yet, I think it remains clear—as Clanton’s discussion of the Campbell’s ideation argument for the existence of God indicates—that Campbell, </w:t>
      </w:r>
      <w:r w:rsidR="006D0C2F">
        <w:rPr>
          <w:rFonts w:ascii="Palatino Linotype" w:hAnsi="Palatino Linotype" w:cs="Arial"/>
          <w:spacing w:val="-2"/>
        </w:rPr>
        <w:t xml:space="preserve">as a philosopher of ideas, is a </w:t>
      </w:r>
      <w:r>
        <w:rPr>
          <w:rFonts w:ascii="Palatino Linotype" w:hAnsi="Palatino Linotype" w:cs="Arial"/>
          <w:spacing w:val="-2"/>
        </w:rPr>
        <w:t xml:space="preserve">deeply rooted empirical </w:t>
      </w:r>
      <w:r>
        <w:rPr>
          <w:rFonts w:ascii="Palatino Linotype" w:hAnsi="Palatino Linotype" w:cs="Arial"/>
          <w:spacing w:val="-2"/>
        </w:rPr>
        <w:lastRenderedPageBreak/>
        <w:t>Biblicist who only ventures into metaphysical waters as a negative apologetic while always staying within sight of the empirical shore.</w:t>
      </w:r>
    </w:p>
    <w:p w14:paraId="7D056028" w14:textId="77777777" w:rsidR="00897EFD" w:rsidRPr="005B0C57" w:rsidRDefault="00897EFD" w:rsidP="005B0C57">
      <w:pPr>
        <w:spacing w:line="480" w:lineRule="auto"/>
      </w:pPr>
    </w:p>
    <w:sectPr w:rsidR="00897EFD" w:rsidRPr="005B0C57" w:rsidSect="00AD3E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4272" w14:textId="77777777" w:rsidR="00BF707A" w:rsidRDefault="00BF707A" w:rsidP="00D272AB">
      <w:r>
        <w:separator/>
      </w:r>
    </w:p>
  </w:endnote>
  <w:endnote w:type="continuationSeparator" w:id="0">
    <w:p w14:paraId="717B621B" w14:textId="77777777" w:rsidR="00BF707A" w:rsidRDefault="00BF707A" w:rsidP="00D2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E840" w14:textId="77777777" w:rsidR="00BF707A" w:rsidRDefault="00BF707A" w:rsidP="00D272AB">
      <w:r>
        <w:separator/>
      </w:r>
    </w:p>
  </w:footnote>
  <w:footnote w:type="continuationSeparator" w:id="0">
    <w:p w14:paraId="51228257" w14:textId="77777777" w:rsidR="00BF707A" w:rsidRDefault="00BF707A" w:rsidP="00D272AB">
      <w:r>
        <w:continuationSeparator/>
      </w:r>
    </w:p>
  </w:footnote>
  <w:footnote w:id="1">
    <w:p w14:paraId="68230263" w14:textId="77777777" w:rsidR="00BF707A" w:rsidRDefault="00BF707A">
      <w:pPr>
        <w:pStyle w:val="FootnoteText"/>
      </w:pPr>
      <w:r w:rsidRPr="004232D7">
        <w:rPr>
          <w:rStyle w:val="FootnoteReference"/>
          <w:rFonts w:ascii="Palatino Linotype" w:hAnsi="Palatino Linotype"/>
        </w:rPr>
        <w:footnoteRef/>
      </w:r>
      <w:r w:rsidRPr="004232D7">
        <w:rPr>
          <w:rFonts w:ascii="Palatino Linotype" w:hAnsi="Palatino Linotype"/>
        </w:rPr>
        <w:t xml:space="preserve"> J. Caleb Clanton, </w:t>
      </w:r>
      <w:r w:rsidRPr="004232D7">
        <w:rPr>
          <w:rFonts w:ascii="Palatino Linotype" w:hAnsi="Palatino Linotype"/>
          <w:i/>
        </w:rPr>
        <w:t>The Philosophy of Religion of Alexander Campbell</w:t>
      </w:r>
      <w:r w:rsidRPr="004232D7">
        <w:rPr>
          <w:rFonts w:ascii="Palatino Linotype" w:hAnsi="Palatino Linotype"/>
        </w:rPr>
        <w:t xml:space="preserve"> (MSS), chapter 4, page 1.  My only access to Caleb’s material is through a single-spaced printout of his </w:t>
      </w:r>
      <w:proofErr w:type="gramStart"/>
      <w:r w:rsidRPr="004232D7">
        <w:rPr>
          <w:rFonts w:ascii="Palatino Linotype" w:hAnsi="Palatino Linotype"/>
        </w:rPr>
        <w:t>MSS which</w:t>
      </w:r>
      <w:proofErr w:type="gramEnd"/>
      <w:r w:rsidRPr="004232D7">
        <w:rPr>
          <w:rFonts w:ascii="Palatino Linotype" w:hAnsi="Palatino Linotype"/>
        </w:rPr>
        <w:t xml:space="preserve"> was forwarded to me by the University of Tennessee Press for peer review.</w:t>
      </w:r>
    </w:p>
  </w:footnote>
  <w:footnote w:id="2">
    <w:p w14:paraId="221F85D4"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“Replication</w:t>
      </w:r>
      <w:proofErr w:type="gramStart"/>
      <w:r w:rsidRPr="004232D7">
        <w:rPr>
          <w:rFonts w:ascii="Palatino Linotype" w:hAnsi="Palatino Linotype" w:cs="Arial"/>
          <w:spacing w:val="-2"/>
        </w:rPr>
        <w:t>.—</w:t>
      </w:r>
      <w:proofErr w:type="gramEnd"/>
      <w:r w:rsidRPr="004232D7">
        <w:rPr>
          <w:rFonts w:ascii="Palatino Linotype" w:hAnsi="Palatino Linotype" w:cs="Arial"/>
          <w:spacing w:val="-2"/>
        </w:rPr>
        <w:t xml:space="preserve">No. 1.,” </w:t>
      </w:r>
      <w:r w:rsidRPr="004232D7">
        <w:rPr>
          <w:rFonts w:ascii="Palatino Linotype" w:hAnsi="Palatino Linotype" w:cs="Arial"/>
          <w:i/>
          <w:iCs/>
          <w:spacing w:val="-2"/>
        </w:rPr>
        <w:t xml:space="preserve">The Christian Baptist </w:t>
      </w:r>
      <w:r w:rsidRPr="004232D7">
        <w:rPr>
          <w:rFonts w:ascii="Palatino Linotype" w:hAnsi="Palatino Linotype" w:cs="Arial"/>
          <w:spacing w:val="-2"/>
        </w:rPr>
        <w:t>4/1 (August 7, 1826): 14.</w:t>
      </w:r>
    </w:p>
  </w:footnote>
  <w:footnote w:id="3">
    <w:p w14:paraId="2E5DE524" w14:textId="77777777" w:rsidR="00BF707A" w:rsidRDefault="00BF707A" w:rsidP="008E6837">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“To Mr. D</w:t>
      </w:r>
      <w:proofErr w:type="gramStart"/>
      <w:r w:rsidRPr="004232D7">
        <w:rPr>
          <w:rFonts w:ascii="Palatino Linotype" w:hAnsi="Palatino Linotype" w:cs="Arial"/>
          <w:spacing w:val="-2"/>
        </w:rPr>
        <w:t>.—</w:t>
      </w:r>
      <w:proofErr w:type="gramEnd"/>
      <w:r w:rsidRPr="004232D7">
        <w:rPr>
          <w:rFonts w:ascii="Palatino Linotype" w:hAnsi="Palatino Linotype" w:cs="Arial"/>
          <w:spacing w:val="-2"/>
        </w:rPr>
        <w:t xml:space="preserve">A Skeptic.—Replication.—No. III,” </w:t>
      </w:r>
      <w:r w:rsidRPr="004232D7">
        <w:rPr>
          <w:rFonts w:ascii="Palatino Linotype" w:hAnsi="Palatino Linotype" w:cs="Arial"/>
          <w:i/>
          <w:iCs/>
          <w:spacing w:val="-2"/>
        </w:rPr>
        <w:t xml:space="preserve">Christian Baptist </w:t>
      </w:r>
      <w:r w:rsidRPr="004232D7">
        <w:rPr>
          <w:rFonts w:ascii="Palatino Linotype" w:hAnsi="Palatino Linotype" w:cs="Arial"/>
          <w:spacing w:val="-2"/>
        </w:rPr>
        <w:t>4/4 (November 6, 1826)</w:t>
      </w:r>
      <w:r w:rsidRPr="004232D7">
        <w:rPr>
          <w:rFonts w:ascii="Palatino Linotype" w:hAnsi="Palatino Linotype" w:cs="Arial"/>
          <w:bCs/>
          <w:spacing w:val="-2"/>
        </w:rPr>
        <w:t xml:space="preserve">: </w:t>
      </w:r>
      <w:r w:rsidRPr="004232D7">
        <w:rPr>
          <w:rFonts w:ascii="Palatino Linotype" w:hAnsi="Palatino Linotype" w:cs="Arial"/>
          <w:spacing w:val="-2"/>
        </w:rPr>
        <w:t>23-24.</w:t>
      </w:r>
    </w:p>
  </w:footnote>
  <w:footnote w:id="4">
    <w:p w14:paraId="632C68B9"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bCs/>
          <w:i/>
          <w:iCs/>
          <w:spacing w:val="-2"/>
        </w:rPr>
        <w:t>Loc. cit.</w:t>
      </w:r>
    </w:p>
  </w:footnote>
  <w:footnote w:id="5">
    <w:p w14:paraId="39BA6875"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spacing w:val="-4"/>
        </w:rPr>
        <w:t>Thomas Campbell, “To Mr. D</w:t>
      </w:r>
      <w:proofErr w:type="gramStart"/>
      <w:r w:rsidRPr="004232D7">
        <w:rPr>
          <w:rFonts w:ascii="Palatino Linotype" w:hAnsi="Palatino Linotype" w:cs="Arial"/>
          <w:spacing w:val="-4"/>
        </w:rPr>
        <w:t>.—</w:t>
      </w:r>
      <w:proofErr w:type="gramEnd"/>
      <w:r w:rsidRPr="004232D7">
        <w:rPr>
          <w:rFonts w:ascii="Palatino Linotype" w:hAnsi="Palatino Linotype" w:cs="Arial"/>
          <w:spacing w:val="-4"/>
        </w:rPr>
        <w:t xml:space="preserve">A Skeptic.—Replication—No. V.,” </w:t>
      </w:r>
      <w:r w:rsidRPr="004232D7">
        <w:rPr>
          <w:rFonts w:ascii="Palatino Linotype" w:hAnsi="Palatino Linotype" w:cs="Arial"/>
          <w:i/>
          <w:iCs/>
          <w:spacing w:val="-4"/>
        </w:rPr>
        <w:t>Christian Baptist</w:t>
      </w:r>
      <w:r w:rsidRPr="004232D7">
        <w:rPr>
          <w:rFonts w:ascii="Palatino Linotype" w:hAnsi="Palatino Linotype" w:cs="Arial"/>
          <w:spacing w:val="-4"/>
        </w:rPr>
        <w:t xml:space="preserve"> 4/6 (January 1, 1827)</w:t>
      </w:r>
      <w:r w:rsidRPr="004232D7">
        <w:rPr>
          <w:rFonts w:ascii="Palatino Linotype" w:hAnsi="Palatino Linotype" w:cs="Arial"/>
          <w:bCs/>
          <w:spacing w:val="-4"/>
        </w:rPr>
        <w:t>:</w:t>
      </w:r>
      <w:r w:rsidRPr="004232D7">
        <w:rPr>
          <w:rFonts w:ascii="Palatino Linotype" w:hAnsi="Palatino Linotype" w:cs="Arial"/>
          <w:spacing w:val="-4"/>
        </w:rPr>
        <w:t xml:space="preserve"> 39.</w:t>
      </w:r>
    </w:p>
  </w:footnote>
  <w:footnote w:id="6">
    <w:p w14:paraId="3F4635E2"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“History of Sin, Including the Outlines of Ancient History—No. I.,” </w:t>
      </w:r>
      <w:r w:rsidRPr="004232D7">
        <w:rPr>
          <w:rFonts w:ascii="Palatino Linotype" w:hAnsi="Palatino Linotype" w:cs="Arial"/>
          <w:i/>
          <w:iCs/>
          <w:spacing w:val="-2"/>
        </w:rPr>
        <w:t>Millennial Harbinger</w:t>
      </w:r>
      <w:r w:rsidRPr="004232D7">
        <w:rPr>
          <w:rFonts w:ascii="Palatino Linotype" w:hAnsi="Palatino Linotype" w:cs="Arial"/>
          <w:spacing w:val="-2"/>
        </w:rPr>
        <w:t xml:space="preserve"> 1 (March 1830)</w:t>
      </w:r>
      <w:r w:rsidRPr="004232D7">
        <w:rPr>
          <w:rFonts w:ascii="Palatino Linotype" w:hAnsi="Palatino Linotype" w:cs="Arial"/>
          <w:bCs/>
          <w:spacing w:val="-2"/>
        </w:rPr>
        <w:t>:</w:t>
      </w:r>
      <w:r w:rsidRPr="004232D7">
        <w:rPr>
          <w:rFonts w:ascii="Palatino Linotype" w:hAnsi="Palatino Linotype" w:cs="Arial"/>
          <w:spacing w:val="-2"/>
        </w:rPr>
        <w:t xml:space="preserve"> 108.</w:t>
      </w:r>
    </w:p>
  </w:footnote>
  <w:footnote w:id="7">
    <w:p w14:paraId="038DEFBA"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bCs/>
          <w:i/>
          <w:iCs/>
          <w:spacing w:val="-2"/>
        </w:rPr>
        <w:t>Loc. cit.</w:t>
      </w:r>
    </w:p>
  </w:footnote>
  <w:footnote w:id="8">
    <w:p w14:paraId="77327720"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i/>
          <w:iCs/>
          <w:spacing w:val="-2"/>
        </w:rPr>
        <w:t>Ibid</w:t>
      </w:r>
      <w:proofErr w:type="gramStart"/>
      <w:r w:rsidRPr="004232D7">
        <w:rPr>
          <w:rFonts w:ascii="Palatino Linotype" w:hAnsi="Palatino Linotype" w:cs="Arial"/>
          <w:i/>
          <w:iCs/>
          <w:spacing w:val="-2"/>
        </w:rPr>
        <w:t>.</w:t>
      </w:r>
      <w:r w:rsidRPr="004232D7">
        <w:rPr>
          <w:rFonts w:ascii="Palatino Linotype" w:hAnsi="Palatino Linotype" w:cs="Arial"/>
          <w:spacing w:val="-2"/>
        </w:rPr>
        <w:t>:</w:t>
      </w:r>
      <w:proofErr w:type="gramEnd"/>
      <w:r w:rsidRPr="004232D7">
        <w:rPr>
          <w:rFonts w:ascii="Palatino Linotype" w:hAnsi="Palatino Linotype" w:cs="Arial"/>
          <w:spacing w:val="-2"/>
        </w:rPr>
        <w:t xml:space="preserve"> 110.</w:t>
      </w:r>
    </w:p>
  </w:footnote>
  <w:footnote w:id="9">
    <w:p w14:paraId="66110E8B"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w:t>
      </w:r>
      <w:r w:rsidRPr="004232D7">
        <w:rPr>
          <w:rFonts w:ascii="Palatino Linotype" w:hAnsi="Palatino Linotype" w:cs="Arial"/>
          <w:i/>
          <w:iCs/>
          <w:spacing w:val="-2"/>
        </w:rPr>
        <w:t>The Christian System</w:t>
      </w:r>
      <w:r w:rsidRPr="004232D7">
        <w:rPr>
          <w:rFonts w:ascii="Palatino Linotype" w:hAnsi="Palatino Linotype" w:cs="Arial"/>
          <w:spacing w:val="-2"/>
        </w:rPr>
        <w:t xml:space="preserve"> (Nashville: Gospel Advocate, 1970; reprint of 1839 edition): 15.</w:t>
      </w:r>
    </w:p>
  </w:footnote>
  <w:footnote w:id="10">
    <w:p w14:paraId="3767D785" w14:textId="77777777" w:rsidR="00BF707A" w:rsidRDefault="00BF707A" w:rsidP="008254F4">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spacing w:val="-4"/>
        </w:rPr>
        <w:t xml:space="preserve">Robert Richardson added an </w:t>
      </w:r>
      <w:proofErr w:type="spellStart"/>
      <w:r w:rsidRPr="004232D7">
        <w:rPr>
          <w:rFonts w:ascii="Palatino Linotype" w:hAnsi="Palatino Linotype" w:cs="Arial"/>
          <w:spacing w:val="-4"/>
        </w:rPr>
        <w:t>Ireanean</w:t>
      </w:r>
      <w:proofErr w:type="spellEnd"/>
      <w:r w:rsidRPr="004232D7">
        <w:rPr>
          <w:rFonts w:ascii="Palatino Linotype" w:hAnsi="Palatino Linotype" w:cs="Arial"/>
          <w:spacing w:val="-4"/>
        </w:rPr>
        <w:t xml:space="preserve"> “soul-making” dimension to his </w:t>
      </w:r>
      <w:proofErr w:type="spellStart"/>
      <w:r w:rsidRPr="004232D7">
        <w:rPr>
          <w:rFonts w:ascii="Palatino Linotype" w:hAnsi="Palatino Linotype" w:cs="Arial"/>
          <w:spacing w:val="-4"/>
        </w:rPr>
        <w:t>theodic</w:t>
      </w:r>
      <w:proofErr w:type="spellEnd"/>
      <w:r w:rsidRPr="004232D7">
        <w:rPr>
          <w:rFonts w:ascii="Palatino Linotype" w:hAnsi="Palatino Linotype" w:cs="Arial"/>
          <w:spacing w:val="-4"/>
        </w:rPr>
        <w:t xml:space="preserve"> thinking, even to the extent of affirming, to some degree, what is traditionally known as the “Happy Fall.” See Richardson’s “Sin—A Dialogue,” </w:t>
      </w:r>
      <w:r w:rsidRPr="004232D7">
        <w:rPr>
          <w:rFonts w:ascii="Palatino Linotype" w:hAnsi="Palatino Linotype" w:cs="Arial"/>
          <w:i/>
          <w:iCs/>
          <w:spacing w:val="-4"/>
        </w:rPr>
        <w:t>Millennial Harbinger</w:t>
      </w:r>
      <w:r w:rsidRPr="004232D7">
        <w:rPr>
          <w:rFonts w:ascii="Palatino Linotype" w:hAnsi="Palatino Linotype" w:cs="Arial"/>
          <w:spacing w:val="-4"/>
        </w:rPr>
        <w:t xml:space="preserve"> (New Series) 3 (September 1839)</w:t>
      </w:r>
      <w:r w:rsidRPr="004232D7">
        <w:rPr>
          <w:rFonts w:ascii="Palatino Linotype" w:hAnsi="Palatino Linotype" w:cs="Arial"/>
          <w:bCs/>
          <w:spacing w:val="-4"/>
        </w:rPr>
        <w:t>:</w:t>
      </w:r>
      <w:r w:rsidRPr="004232D7">
        <w:rPr>
          <w:rFonts w:ascii="Palatino Linotype" w:hAnsi="Palatino Linotype" w:cs="Arial"/>
          <w:spacing w:val="-4"/>
        </w:rPr>
        <w:t xml:space="preserve"> 406, and (October 1839)</w:t>
      </w:r>
      <w:r w:rsidRPr="004232D7">
        <w:rPr>
          <w:rFonts w:ascii="Palatino Linotype" w:hAnsi="Palatino Linotype" w:cs="Arial"/>
          <w:bCs/>
          <w:spacing w:val="-4"/>
        </w:rPr>
        <w:t>:</w:t>
      </w:r>
      <w:r w:rsidRPr="004232D7">
        <w:rPr>
          <w:rFonts w:ascii="Palatino Linotype" w:hAnsi="Palatino Linotype" w:cs="Arial"/>
          <w:b/>
          <w:bCs/>
          <w:spacing w:val="-4"/>
        </w:rPr>
        <w:t xml:space="preserve"> </w:t>
      </w:r>
      <w:r w:rsidRPr="004232D7">
        <w:rPr>
          <w:rFonts w:ascii="Palatino Linotype" w:hAnsi="Palatino Linotype" w:cs="Arial"/>
          <w:spacing w:val="-4"/>
        </w:rPr>
        <w:t>443, 445-6.</w:t>
      </w:r>
    </w:p>
  </w:footnote>
  <w:footnote w:id="11">
    <w:p w14:paraId="25C3C7CF" w14:textId="77777777" w:rsidR="00BF707A" w:rsidRDefault="00BF707A">
      <w:pPr>
        <w:pStyle w:val="FootnoteText"/>
      </w:pPr>
      <w:r>
        <w:rPr>
          <w:rStyle w:val="FootnoteReference"/>
        </w:rPr>
        <w:footnoteRef/>
      </w:r>
      <w:r>
        <w:t xml:space="preserve"> J. L. </w:t>
      </w:r>
      <w:proofErr w:type="spellStart"/>
      <w:r>
        <w:t>Schellenberg</w:t>
      </w:r>
      <w:proofErr w:type="spellEnd"/>
      <w:r>
        <w:t xml:space="preserve">, </w:t>
      </w:r>
      <w:r>
        <w:rPr>
          <w:i/>
        </w:rPr>
        <w:t>Divine Hiddenness and Human Reason</w:t>
      </w:r>
      <w:r>
        <w:t xml:space="preserve"> (Ithaca, NY: Cornell University Press, 1993).</w:t>
      </w:r>
    </w:p>
  </w:footnote>
  <w:footnote w:id="12">
    <w:p w14:paraId="62D51668" w14:textId="77777777" w:rsidR="00BF707A" w:rsidRDefault="00BF707A">
      <w:pPr>
        <w:pStyle w:val="FootnoteText"/>
      </w:pPr>
      <w:r>
        <w:rPr>
          <w:rStyle w:val="FootnoteReference"/>
        </w:rPr>
        <w:footnoteRef/>
      </w:r>
      <w:r>
        <w:t xml:space="preserve"> Alexander Campbell, “Deism and the Social System—No. </w:t>
      </w:r>
      <w:proofErr w:type="gramStart"/>
      <w:r>
        <w:t xml:space="preserve">IV,” </w:t>
      </w:r>
      <w:r>
        <w:rPr>
          <w:i/>
        </w:rPr>
        <w:t>Christian Baptist</w:t>
      </w:r>
      <w:r>
        <w:t xml:space="preserve"> 5/2 (3 September 1827) 366.</w:t>
      </w:r>
      <w:proofErr w:type="gramEnd"/>
    </w:p>
  </w:footnote>
  <w:footnote w:id="13">
    <w:p w14:paraId="23C97531" w14:textId="77777777" w:rsidR="00BF707A" w:rsidRDefault="00BF707A">
      <w:pPr>
        <w:pStyle w:val="FootnoteText"/>
      </w:pPr>
      <w:r>
        <w:rPr>
          <w:rStyle w:val="FootnoteReference"/>
        </w:rPr>
        <w:footnoteRef/>
      </w:r>
      <w:r>
        <w:t xml:space="preserve"> See Thomas V. Morris, </w:t>
      </w:r>
      <w:r>
        <w:rPr>
          <w:i/>
        </w:rPr>
        <w:t>Making Sense of It All: Pascal and the Meaning of Life</w:t>
      </w:r>
      <w:r>
        <w:t xml:space="preserve"> (Grand Rapids: Eerdmans, 1992), 97-108.</w:t>
      </w:r>
    </w:p>
  </w:footnote>
  <w:footnote w:id="14">
    <w:p w14:paraId="02A19160" w14:textId="77777777" w:rsidR="00BF707A" w:rsidRDefault="00BF707A">
      <w:pPr>
        <w:pStyle w:val="FootnoteText"/>
      </w:pPr>
      <w:r w:rsidRPr="004232D7">
        <w:rPr>
          <w:rStyle w:val="FootnoteReference"/>
          <w:rFonts w:ascii="Palatino Linotype" w:hAnsi="Palatino Linotype"/>
        </w:rPr>
        <w:footnoteRef/>
      </w:r>
      <w:r>
        <w:rPr>
          <w:rFonts w:ascii="Palatino Linotype" w:hAnsi="Palatino Linotype"/>
        </w:rPr>
        <w:t xml:space="preserve"> Some of this</w:t>
      </w:r>
      <w:r w:rsidRPr="004232D7">
        <w:rPr>
          <w:rFonts w:ascii="Palatino Linotype" w:hAnsi="Palatino Linotype"/>
        </w:rPr>
        <w:t xml:space="preserve"> material is taken from John Mark Hicks, “Theodicy in Early Stone-Campbell Perspectives,” in </w:t>
      </w:r>
      <w:r w:rsidRPr="004232D7">
        <w:rPr>
          <w:rFonts w:ascii="Palatino Linotype" w:hAnsi="Palatino Linotype"/>
          <w:i/>
        </w:rPr>
        <w:t>Restoring the First-century Church in the Twenty-first Century: Essays on the Stone-Campbell Restoration Movement</w:t>
      </w:r>
      <w:r w:rsidRPr="004232D7">
        <w:rPr>
          <w:rFonts w:ascii="Palatino Linotype" w:hAnsi="Palatino Linotype"/>
        </w:rPr>
        <w:t xml:space="preserve">, ed. Warren Lewis and Hans </w:t>
      </w:r>
      <w:proofErr w:type="spellStart"/>
      <w:r w:rsidRPr="004232D7">
        <w:rPr>
          <w:rFonts w:ascii="Palatino Linotype" w:hAnsi="Palatino Linotype"/>
        </w:rPr>
        <w:t>Rollmann</w:t>
      </w:r>
      <w:proofErr w:type="spellEnd"/>
      <w:r w:rsidRPr="004232D7">
        <w:rPr>
          <w:rFonts w:ascii="Palatino Linotype" w:hAnsi="Palatino Linotype"/>
        </w:rPr>
        <w:t xml:space="preserve"> (Eugene, OR: </w:t>
      </w:r>
      <w:proofErr w:type="spellStart"/>
      <w:r w:rsidRPr="004232D7">
        <w:rPr>
          <w:rFonts w:ascii="Palatino Linotype" w:hAnsi="Palatino Linotype"/>
        </w:rPr>
        <w:t>Wipf</w:t>
      </w:r>
      <w:proofErr w:type="spellEnd"/>
      <w:r w:rsidRPr="004232D7">
        <w:rPr>
          <w:rFonts w:ascii="Palatino Linotype" w:hAnsi="Palatino Linotype"/>
        </w:rPr>
        <w:t xml:space="preserve"> &amp; Stock, 2005) 288-291</w:t>
      </w:r>
    </w:p>
  </w:footnote>
  <w:footnote w:id="15">
    <w:p w14:paraId="0B52C8AD"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w:t>
      </w:r>
      <w:proofErr w:type="spellStart"/>
      <w:r w:rsidRPr="004232D7">
        <w:rPr>
          <w:rFonts w:ascii="Palatino Linotype" w:hAnsi="Palatino Linotype" w:cs="Arial"/>
          <w:spacing w:val="-2"/>
        </w:rPr>
        <w:t>Campbell,“Sherlock</w:t>
      </w:r>
      <w:proofErr w:type="spellEnd"/>
      <w:r w:rsidRPr="004232D7">
        <w:rPr>
          <w:rFonts w:ascii="Palatino Linotype" w:hAnsi="Palatino Linotype" w:cs="Arial"/>
          <w:spacing w:val="-2"/>
        </w:rPr>
        <w:t xml:space="preserve"> on Providence,” </w:t>
      </w:r>
      <w:r w:rsidRPr="004232D7">
        <w:rPr>
          <w:rFonts w:ascii="Palatino Linotype" w:hAnsi="Palatino Linotype" w:cs="Arial"/>
          <w:i/>
          <w:iCs/>
          <w:spacing w:val="-2"/>
        </w:rPr>
        <w:t xml:space="preserve">Millennial Harbinger </w:t>
      </w:r>
      <w:r w:rsidRPr="004232D7">
        <w:rPr>
          <w:rFonts w:ascii="Palatino Linotype" w:hAnsi="Palatino Linotype" w:cs="Arial"/>
          <w:spacing w:val="-2"/>
        </w:rPr>
        <w:t>4/5 (May 1833)</w:t>
      </w:r>
      <w:r w:rsidRPr="004232D7">
        <w:rPr>
          <w:rFonts w:ascii="Palatino Linotype" w:hAnsi="Palatino Linotype" w:cs="Arial"/>
          <w:bCs/>
          <w:spacing w:val="-2"/>
        </w:rPr>
        <w:t>:</w:t>
      </w:r>
      <w:r w:rsidRPr="004232D7">
        <w:rPr>
          <w:rFonts w:ascii="Palatino Linotype" w:hAnsi="Palatino Linotype" w:cs="Arial"/>
          <w:spacing w:val="-2"/>
        </w:rPr>
        <w:t xml:space="preserve"> 205-12, 4/6 (June 1833): 247-51, 4/7(July 1833)</w:t>
      </w:r>
      <w:r w:rsidRPr="004232D7">
        <w:rPr>
          <w:rFonts w:ascii="Palatino Linotype" w:hAnsi="Palatino Linotype" w:cs="Arial"/>
          <w:bCs/>
          <w:spacing w:val="-2"/>
        </w:rPr>
        <w:t>:</w:t>
      </w:r>
      <w:r w:rsidRPr="004232D7">
        <w:rPr>
          <w:rFonts w:ascii="Palatino Linotype" w:hAnsi="Palatino Linotype" w:cs="Arial"/>
          <w:spacing w:val="-2"/>
        </w:rPr>
        <w:t xml:space="preserve"> 296-300, 4/8 (August 1833): 389-95, 4/9 (September 1833): 435-9.</w:t>
      </w:r>
    </w:p>
  </w:footnote>
  <w:footnote w:id="16">
    <w:p w14:paraId="01E93C31"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William Sherlock, </w:t>
      </w:r>
      <w:r w:rsidRPr="004232D7">
        <w:rPr>
          <w:rFonts w:ascii="Palatino Linotype" w:hAnsi="Palatino Linotype" w:cs="Arial"/>
          <w:i/>
          <w:iCs/>
          <w:spacing w:val="-2"/>
        </w:rPr>
        <w:t>A Discourse Concerning the Divine Providence</w:t>
      </w:r>
      <w:r w:rsidRPr="004232D7">
        <w:rPr>
          <w:rFonts w:ascii="Palatino Linotype" w:hAnsi="Palatino Linotype" w:cs="Arial"/>
          <w:spacing w:val="-2"/>
        </w:rPr>
        <w:t>, 2</w:t>
      </w:r>
      <w:r w:rsidRPr="004232D7">
        <w:rPr>
          <w:rFonts w:ascii="Palatino Linotype" w:hAnsi="Palatino Linotype" w:cs="Arial"/>
          <w:spacing w:val="-2"/>
          <w:vertAlign w:val="superscript"/>
        </w:rPr>
        <w:t>nd</w:t>
      </w:r>
      <w:r w:rsidRPr="004232D7">
        <w:rPr>
          <w:rFonts w:ascii="Palatino Linotype" w:hAnsi="Palatino Linotype" w:cs="Arial"/>
          <w:spacing w:val="-2"/>
        </w:rPr>
        <w:t xml:space="preserve"> edition (London: William Rogers, 1694).</w:t>
      </w:r>
    </w:p>
  </w:footnote>
  <w:footnote w:id="17">
    <w:p w14:paraId="6BB6D5C4"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William Sherlock, </w:t>
      </w:r>
      <w:r w:rsidRPr="004232D7">
        <w:rPr>
          <w:rFonts w:ascii="Palatino Linotype" w:hAnsi="Palatino Linotype" w:cs="Arial"/>
          <w:i/>
          <w:iCs/>
          <w:spacing w:val="-2"/>
        </w:rPr>
        <w:t>A Discourse Concerning the Divine Providence</w:t>
      </w:r>
      <w:r w:rsidRPr="004232D7">
        <w:rPr>
          <w:rFonts w:ascii="Palatino Linotype" w:hAnsi="Palatino Linotype" w:cs="Arial"/>
          <w:spacing w:val="-2"/>
        </w:rPr>
        <w:t xml:space="preserve"> (Cincinnati: M. </w:t>
      </w:r>
      <w:proofErr w:type="spellStart"/>
      <w:r w:rsidRPr="004232D7">
        <w:rPr>
          <w:rFonts w:ascii="Palatino Linotype" w:hAnsi="Palatino Linotype" w:cs="Arial"/>
          <w:spacing w:val="-2"/>
        </w:rPr>
        <w:t>Ruter</w:t>
      </w:r>
      <w:proofErr w:type="spellEnd"/>
      <w:r w:rsidRPr="004232D7">
        <w:rPr>
          <w:rFonts w:ascii="Palatino Linotype" w:hAnsi="Palatino Linotype" w:cs="Arial"/>
          <w:spacing w:val="-2"/>
        </w:rPr>
        <w:t>, 1823; reprint of 2</w:t>
      </w:r>
      <w:r w:rsidRPr="004232D7">
        <w:rPr>
          <w:rFonts w:ascii="Palatino Linotype" w:hAnsi="Palatino Linotype" w:cs="Arial"/>
          <w:spacing w:val="-2"/>
          <w:vertAlign w:val="superscript"/>
        </w:rPr>
        <w:t>nd</w:t>
      </w:r>
      <w:r w:rsidRPr="004232D7">
        <w:rPr>
          <w:rFonts w:ascii="Palatino Linotype" w:hAnsi="Palatino Linotype" w:cs="Arial"/>
          <w:spacing w:val="-2"/>
        </w:rPr>
        <w:t xml:space="preserve"> edition, 1694).</w:t>
      </w:r>
    </w:p>
  </w:footnote>
  <w:footnote w:id="18">
    <w:p w14:paraId="6033B711" w14:textId="77777777" w:rsidR="00BF707A" w:rsidRDefault="00BF707A">
      <w:pPr>
        <w:pStyle w:val="FootnoteText"/>
      </w:pPr>
      <w:r>
        <w:rPr>
          <w:rStyle w:val="FootnoteReference"/>
        </w:rPr>
        <w:footnoteRef/>
      </w:r>
      <w:r>
        <w:t xml:space="preserve"> </w:t>
      </w:r>
      <w:r w:rsidRPr="000423E3">
        <w:rPr>
          <w:rFonts w:ascii="Palatino Linotype" w:hAnsi="Palatino Linotype"/>
        </w:rPr>
        <w:t xml:space="preserve">Michael L. Peterson was one of the first to define “meticulous providence” and identified it </w:t>
      </w:r>
      <w:proofErr w:type="gramStart"/>
      <w:r w:rsidRPr="000423E3">
        <w:rPr>
          <w:rFonts w:ascii="Palatino Linotype" w:hAnsi="Palatino Linotype"/>
        </w:rPr>
        <w:t>as “an omnipotent, omniscient, wholly good God would not allow gratuitous or pointless evil”</w:t>
      </w:r>
      <w:proofErr w:type="gramEnd"/>
      <w:r w:rsidRPr="000423E3">
        <w:rPr>
          <w:rFonts w:ascii="Palatino Linotype" w:hAnsi="Palatino Linotype"/>
        </w:rPr>
        <w:t xml:space="preserve"> (“The Inductive Problem of Evil,” </w:t>
      </w:r>
      <w:r w:rsidRPr="000423E3">
        <w:rPr>
          <w:rFonts w:ascii="Palatino Linotype" w:hAnsi="Palatino Linotype"/>
          <w:i/>
        </w:rPr>
        <w:t>Journal of the American Scientific Affiliation</w:t>
      </w:r>
      <w:r w:rsidRPr="000423E3">
        <w:rPr>
          <w:rFonts w:ascii="Palatino Linotype" w:hAnsi="Palatino Linotype"/>
        </w:rPr>
        <w:t xml:space="preserve"> 33 [1981]: 85). He first articulated this in “Evil and Inconsistency: A Reply,” </w:t>
      </w:r>
      <w:r w:rsidRPr="000423E3">
        <w:rPr>
          <w:rFonts w:ascii="Palatino Linotype" w:hAnsi="Palatino Linotype"/>
          <w:i/>
        </w:rPr>
        <w:t>Sophia</w:t>
      </w:r>
      <w:r w:rsidRPr="000423E3">
        <w:rPr>
          <w:rFonts w:ascii="Palatino Linotype" w:hAnsi="Palatino Linotype"/>
        </w:rPr>
        <w:t xml:space="preserve"> 18.2 (1979): 20-27. The term has now</w:t>
      </w:r>
      <w:r>
        <w:rPr>
          <w:rFonts w:ascii="Palatino Linotype" w:hAnsi="Palatino Linotype"/>
        </w:rPr>
        <w:t>, unfortunately,</w:t>
      </w:r>
      <w:r w:rsidRPr="000423E3">
        <w:rPr>
          <w:rFonts w:ascii="Palatino Linotype" w:hAnsi="Palatino Linotype"/>
        </w:rPr>
        <w:t xml:space="preserve"> become virtually synonymous with Augustinian or Calvinist understandings of providence (that is, deterministic or </w:t>
      </w:r>
      <w:proofErr w:type="spellStart"/>
      <w:r w:rsidRPr="000423E3">
        <w:rPr>
          <w:rFonts w:ascii="Palatino Linotype" w:hAnsi="Palatino Linotype"/>
        </w:rPr>
        <w:t>decretal</w:t>
      </w:r>
      <w:proofErr w:type="spellEnd"/>
      <w:r w:rsidRPr="000423E3">
        <w:rPr>
          <w:rFonts w:ascii="Palatino Linotype" w:hAnsi="Palatino Linotype"/>
        </w:rPr>
        <w:t>) in the discussion of open theism.</w:t>
      </w:r>
    </w:p>
  </w:footnote>
  <w:footnote w:id="19">
    <w:p w14:paraId="3B030295"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Likewise, Robert Richardson, Campbell’s son-in-law, endorsed Sherlock and followed the extracts with his own complementary series on providence</w:t>
      </w:r>
      <w:r w:rsidRPr="004232D7">
        <w:rPr>
          <w:rFonts w:ascii="Palatino Linotype" w:hAnsi="Palatino Linotype" w:cs="Arial"/>
          <w:bCs/>
          <w:spacing w:val="-2"/>
        </w:rPr>
        <w:t xml:space="preserve">, </w:t>
      </w:r>
      <w:r w:rsidRPr="004232D7">
        <w:rPr>
          <w:rFonts w:ascii="Palatino Linotype" w:hAnsi="Palatino Linotype" w:cs="Arial"/>
          <w:spacing w:val="-2"/>
        </w:rPr>
        <w:t xml:space="preserve">“The Providence of God,“ </w:t>
      </w:r>
      <w:r w:rsidRPr="004232D7">
        <w:rPr>
          <w:rFonts w:ascii="Palatino Linotype" w:hAnsi="Palatino Linotype" w:cs="Arial"/>
          <w:i/>
          <w:iCs/>
          <w:spacing w:val="-2"/>
        </w:rPr>
        <w:t xml:space="preserve">Millennial Harbinger </w:t>
      </w:r>
      <w:r w:rsidRPr="004232D7">
        <w:rPr>
          <w:rFonts w:ascii="Palatino Linotype" w:hAnsi="Palatino Linotype" w:cs="Arial"/>
          <w:spacing w:val="-2"/>
        </w:rPr>
        <w:t>7/5 (May 1836): 219-224, 7/6, (June 1836): 246-51, 7/7 (July 1836): 305-7, 7/8 (August 1836): 360-364, 7/9 (September 1836): 385-89; 7/10 (October 1836): 441-48.</w:t>
      </w:r>
    </w:p>
  </w:footnote>
  <w:footnote w:id="20">
    <w:p w14:paraId="7D86EE2F"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“Reply to J. A. Waterman,” </w:t>
      </w:r>
      <w:r w:rsidRPr="004232D7">
        <w:rPr>
          <w:rFonts w:ascii="Palatino Linotype" w:hAnsi="Palatino Linotype" w:cs="Arial"/>
          <w:i/>
          <w:iCs/>
          <w:spacing w:val="-2"/>
        </w:rPr>
        <w:t>Millennial Harbinger</w:t>
      </w:r>
      <w:r w:rsidRPr="004232D7">
        <w:rPr>
          <w:rFonts w:ascii="Palatino Linotype" w:hAnsi="Palatino Linotype" w:cs="Arial"/>
          <w:spacing w:val="-2"/>
        </w:rPr>
        <w:t xml:space="preserve"> 4 (June 1833): 243.</w:t>
      </w:r>
    </w:p>
  </w:footnote>
  <w:footnote w:id="21">
    <w:p w14:paraId="3C6C7C08"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“Providence, General and Special,” </w:t>
      </w:r>
      <w:r w:rsidRPr="004232D7">
        <w:rPr>
          <w:rFonts w:ascii="Palatino Linotype" w:hAnsi="Palatino Linotype" w:cs="Arial"/>
          <w:i/>
          <w:iCs/>
          <w:spacing w:val="-2"/>
        </w:rPr>
        <w:t>Millennial Harbinger</w:t>
      </w:r>
      <w:r w:rsidRPr="004232D7">
        <w:rPr>
          <w:rFonts w:ascii="Palatino Linotype" w:hAnsi="Palatino Linotype" w:cs="Arial"/>
          <w:spacing w:val="-2"/>
        </w:rPr>
        <w:t xml:space="preserve"> (New Series) 5 (November 1855)</w:t>
      </w:r>
      <w:r w:rsidRPr="004232D7">
        <w:rPr>
          <w:rFonts w:ascii="Palatino Linotype" w:hAnsi="Palatino Linotype" w:cs="Arial"/>
          <w:bCs/>
          <w:spacing w:val="-2"/>
        </w:rPr>
        <w:t>:</w:t>
      </w:r>
      <w:r w:rsidRPr="004232D7">
        <w:rPr>
          <w:rFonts w:ascii="Palatino Linotype" w:hAnsi="Palatino Linotype" w:cs="Arial"/>
          <w:spacing w:val="-2"/>
        </w:rPr>
        <w:t xml:space="preserve"> 602.</w:t>
      </w:r>
    </w:p>
  </w:footnote>
  <w:footnote w:id="22">
    <w:p w14:paraId="28DF1B98"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bCs/>
          <w:i/>
          <w:iCs/>
          <w:spacing w:val="-2"/>
        </w:rPr>
        <w:t>Ibid</w:t>
      </w:r>
      <w:proofErr w:type="gramStart"/>
      <w:r w:rsidRPr="004232D7">
        <w:rPr>
          <w:rFonts w:ascii="Palatino Linotype" w:hAnsi="Palatino Linotype" w:cs="Arial"/>
          <w:spacing w:val="-2"/>
        </w:rPr>
        <w:t>.:</w:t>
      </w:r>
      <w:proofErr w:type="gramEnd"/>
      <w:r w:rsidRPr="004232D7">
        <w:rPr>
          <w:rFonts w:ascii="Palatino Linotype" w:hAnsi="Palatino Linotype" w:cs="Arial"/>
          <w:spacing w:val="-2"/>
        </w:rPr>
        <w:t xml:space="preserve"> 603.</w:t>
      </w:r>
    </w:p>
  </w:footnote>
  <w:footnote w:id="23">
    <w:p w14:paraId="12326426"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i/>
          <w:iCs/>
          <w:spacing w:val="-2"/>
        </w:rPr>
        <w:t>Ibid</w:t>
      </w:r>
      <w:proofErr w:type="gramStart"/>
      <w:r w:rsidRPr="004232D7">
        <w:rPr>
          <w:rFonts w:ascii="Palatino Linotype" w:hAnsi="Palatino Linotype" w:cs="Arial"/>
          <w:spacing w:val="-2"/>
        </w:rPr>
        <w:t>.:</w:t>
      </w:r>
      <w:proofErr w:type="gramEnd"/>
      <w:r w:rsidRPr="004232D7">
        <w:rPr>
          <w:rFonts w:ascii="Palatino Linotype" w:hAnsi="Palatino Linotype" w:cs="Arial"/>
          <w:spacing w:val="-2"/>
        </w:rPr>
        <w:t xml:space="preserve"> 604.</w:t>
      </w:r>
    </w:p>
  </w:footnote>
  <w:footnote w:id="24">
    <w:p w14:paraId="3238B5AF"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“Chance,” </w:t>
      </w:r>
      <w:r w:rsidRPr="004232D7">
        <w:rPr>
          <w:rFonts w:ascii="Palatino Linotype" w:hAnsi="Palatino Linotype" w:cs="Arial"/>
          <w:i/>
          <w:iCs/>
          <w:spacing w:val="-2"/>
        </w:rPr>
        <w:t>Millennial Harbinger</w:t>
      </w:r>
      <w:r w:rsidRPr="004232D7">
        <w:rPr>
          <w:rFonts w:ascii="Palatino Linotype" w:hAnsi="Palatino Linotype" w:cs="Arial"/>
          <w:iCs/>
          <w:spacing w:val="-2"/>
        </w:rPr>
        <w:t xml:space="preserve"> (New Series) 1</w:t>
      </w:r>
      <w:r w:rsidRPr="004232D7">
        <w:rPr>
          <w:rFonts w:ascii="Palatino Linotype" w:hAnsi="Palatino Linotype" w:cs="Arial"/>
          <w:spacing w:val="-2"/>
        </w:rPr>
        <w:t xml:space="preserve"> (November 1851): 617.</w:t>
      </w:r>
    </w:p>
  </w:footnote>
  <w:footnote w:id="25">
    <w:p w14:paraId="449ED709"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bCs/>
          <w:i/>
          <w:iCs/>
          <w:spacing w:val="-2"/>
        </w:rPr>
        <w:t>Ibid</w:t>
      </w:r>
      <w:proofErr w:type="gramStart"/>
      <w:r w:rsidRPr="004232D7">
        <w:rPr>
          <w:rFonts w:ascii="Palatino Linotype" w:hAnsi="Palatino Linotype" w:cs="Arial"/>
          <w:spacing w:val="-2"/>
        </w:rPr>
        <w:t>.:</w:t>
      </w:r>
      <w:proofErr w:type="gramEnd"/>
      <w:r w:rsidRPr="004232D7">
        <w:rPr>
          <w:rFonts w:ascii="Palatino Linotype" w:hAnsi="Palatino Linotype" w:cs="Arial"/>
          <w:spacing w:val="-2"/>
        </w:rPr>
        <w:t xml:space="preserve"> 617-8.</w:t>
      </w:r>
    </w:p>
  </w:footnote>
  <w:footnote w:id="26">
    <w:p w14:paraId="1CAC53A8"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bCs/>
          <w:i/>
          <w:iCs/>
          <w:spacing w:val="-2"/>
        </w:rPr>
        <w:t>Ibid</w:t>
      </w:r>
      <w:proofErr w:type="gramStart"/>
      <w:r w:rsidRPr="004232D7">
        <w:rPr>
          <w:rFonts w:ascii="Palatino Linotype" w:hAnsi="Palatino Linotype" w:cs="Arial"/>
          <w:bCs/>
          <w:i/>
          <w:iCs/>
          <w:spacing w:val="-2"/>
        </w:rPr>
        <w:t>.</w:t>
      </w:r>
      <w:r w:rsidRPr="004232D7">
        <w:rPr>
          <w:rFonts w:ascii="Palatino Linotype" w:hAnsi="Palatino Linotype" w:cs="Arial"/>
          <w:bCs/>
          <w:spacing w:val="-2"/>
        </w:rPr>
        <w:t>:</w:t>
      </w:r>
      <w:proofErr w:type="gramEnd"/>
      <w:r w:rsidRPr="004232D7">
        <w:rPr>
          <w:rFonts w:ascii="Palatino Linotype" w:hAnsi="Palatino Linotype" w:cs="Arial"/>
          <w:bCs/>
          <w:spacing w:val="-2"/>
        </w:rPr>
        <w:t xml:space="preserve"> </w:t>
      </w:r>
      <w:r w:rsidRPr="004232D7">
        <w:rPr>
          <w:rFonts w:ascii="Palatino Linotype" w:hAnsi="Palatino Linotype" w:cs="Arial"/>
          <w:spacing w:val="-2"/>
        </w:rPr>
        <w:t>619.</w:t>
      </w:r>
    </w:p>
  </w:footnote>
  <w:footnote w:id="27">
    <w:p w14:paraId="1A121047"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bCs/>
          <w:i/>
          <w:iCs/>
          <w:spacing w:val="-2"/>
        </w:rPr>
        <w:t>Ibid</w:t>
      </w:r>
      <w:proofErr w:type="gramStart"/>
      <w:r w:rsidRPr="004232D7">
        <w:rPr>
          <w:rFonts w:ascii="Palatino Linotype" w:hAnsi="Palatino Linotype" w:cs="Arial"/>
          <w:bCs/>
          <w:i/>
          <w:iCs/>
          <w:spacing w:val="-2"/>
        </w:rPr>
        <w:t>.</w:t>
      </w:r>
      <w:r w:rsidRPr="004232D7">
        <w:rPr>
          <w:rFonts w:ascii="Palatino Linotype" w:hAnsi="Palatino Linotype" w:cs="Arial"/>
          <w:bCs/>
          <w:spacing w:val="-2"/>
        </w:rPr>
        <w:t>:</w:t>
      </w:r>
      <w:proofErr w:type="gramEnd"/>
      <w:r w:rsidRPr="004232D7">
        <w:rPr>
          <w:rFonts w:ascii="Palatino Linotype" w:hAnsi="Palatino Linotype" w:cs="Arial"/>
          <w:bCs/>
          <w:spacing w:val="-2"/>
        </w:rPr>
        <w:t xml:space="preserve"> </w:t>
      </w:r>
      <w:r w:rsidRPr="004232D7">
        <w:rPr>
          <w:rFonts w:ascii="Palatino Linotype" w:hAnsi="Palatino Linotype" w:cs="Arial"/>
          <w:spacing w:val="-2"/>
        </w:rPr>
        <w:t>620-1.</w:t>
      </w:r>
    </w:p>
  </w:footnote>
  <w:footnote w:id="28">
    <w:p w14:paraId="420728C4"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(1855): 608.</w:t>
      </w:r>
    </w:p>
  </w:footnote>
  <w:footnote w:id="29">
    <w:p w14:paraId="27B3D127" w14:textId="77777777" w:rsidR="00BF707A" w:rsidRDefault="00BF707A" w:rsidP="00D272AB">
      <w:pPr>
        <w:jc w:val="both"/>
      </w:pPr>
      <w:r w:rsidRPr="004232D7">
        <w:rPr>
          <w:rStyle w:val="FootnoteReference"/>
          <w:rFonts w:ascii="Palatino Linotype" w:hAnsi="Palatino Linotype" w:cs="Arial"/>
          <w:spacing w:val="-2"/>
          <w:sz w:val="20"/>
          <w:szCs w:val="20"/>
        </w:rPr>
        <w:footnoteRef/>
      </w:r>
      <w:r w:rsidRPr="004232D7">
        <w:rPr>
          <w:rFonts w:ascii="Palatino Linotype" w:hAnsi="Palatino Linotype" w:cs="Arial"/>
          <w:spacing w:val="-2"/>
          <w:sz w:val="20"/>
          <w:szCs w:val="20"/>
        </w:rPr>
        <w:t xml:space="preserve"> Alexander Campbell, “Mysteries of Providence,” </w:t>
      </w:r>
      <w:r w:rsidRPr="004232D7">
        <w:rPr>
          <w:rFonts w:ascii="Palatino Linotype" w:hAnsi="Palatino Linotype" w:cs="Arial"/>
          <w:i/>
          <w:spacing w:val="-2"/>
          <w:sz w:val="20"/>
          <w:szCs w:val="20"/>
        </w:rPr>
        <w:t xml:space="preserve">Millennial Harbinger </w:t>
      </w:r>
      <w:r w:rsidRPr="004232D7">
        <w:rPr>
          <w:rFonts w:ascii="Palatino Linotype" w:hAnsi="Palatino Linotype" w:cs="Arial"/>
          <w:spacing w:val="-2"/>
          <w:sz w:val="20"/>
          <w:szCs w:val="20"/>
        </w:rPr>
        <w:t>18 (1847)</w:t>
      </w:r>
      <w:r w:rsidRPr="004232D7">
        <w:rPr>
          <w:rFonts w:ascii="Palatino Linotype" w:hAnsi="Palatino Linotype" w:cs="Arial"/>
          <w:bCs/>
          <w:spacing w:val="-2"/>
          <w:sz w:val="20"/>
          <w:szCs w:val="20"/>
        </w:rPr>
        <w:t>:</w:t>
      </w:r>
      <w:r w:rsidRPr="004232D7">
        <w:rPr>
          <w:rFonts w:ascii="Palatino Linotype" w:hAnsi="Palatino Linotype" w:cs="Arial"/>
          <w:spacing w:val="-2"/>
          <w:sz w:val="20"/>
          <w:szCs w:val="20"/>
        </w:rPr>
        <w:t xml:space="preserve"> 707. In his “Address on Demonology,” </w:t>
      </w:r>
      <w:r w:rsidRPr="004232D7">
        <w:rPr>
          <w:rFonts w:ascii="Palatino Linotype" w:hAnsi="Palatino Linotype" w:cs="Arial"/>
          <w:i/>
          <w:iCs/>
          <w:spacing w:val="-2"/>
          <w:sz w:val="20"/>
          <w:szCs w:val="20"/>
        </w:rPr>
        <w:t>Popular Lectures and Addresses</w:t>
      </w:r>
      <w:r w:rsidRPr="004232D7">
        <w:rPr>
          <w:rFonts w:ascii="Palatino Linotype" w:hAnsi="Palatino Linotype" w:cs="Arial"/>
          <w:spacing w:val="-2"/>
          <w:sz w:val="20"/>
          <w:szCs w:val="20"/>
        </w:rPr>
        <w:t xml:space="preserve"> (Philadelphia, Pennsylvania: James </w:t>
      </w:r>
      <w:proofErr w:type="spellStart"/>
      <w:r w:rsidRPr="004232D7">
        <w:rPr>
          <w:rFonts w:ascii="Palatino Linotype" w:hAnsi="Palatino Linotype" w:cs="Arial"/>
          <w:spacing w:val="-2"/>
          <w:sz w:val="20"/>
          <w:szCs w:val="20"/>
        </w:rPr>
        <w:t>Challen</w:t>
      </w:r>
      <w:proofErr w:type="spellEnd"/>
      <w:r w:rsidRPr="004232D7">
        <w:rPr>
          <w:rFonts w:ascii="Palatino Linotype" w:hAnsi="Palatino Linotype" w:cs="Arial"/>
          <w:spacing w:val="-2"/>
          <w:sz w:val="20"/>
          <w:szCs w:val="20"/>
        </w:rPr>
        <w:t xml:space="preserve"> and Son, 1866): 379-402, Campbell defended the thesis that demons (both good and bad) are the spirits of the dead. See </w:t>
      </w:r>
      <w:hyperlink r:id="rId1" w:history="1">
        <w:r w:rsidRPr="004232D7">
          <w:rPr>
            <w:rStyle w:val="Hyperlink"/>
            <w:rFonts w:ascii="Palatino Linotype" w:hAnsi="Palatino Linotype" w:cs="Arial"/>
            <w:spacing w:val="-2"/>
            <w:sz w:val="20"/>
            <w:szCs w:val="20"/>
          </w:rPr>
          <w:t>http://www.mun.ca/rels/restmov/texts/acampbell/pla/PLA17.HTM</w:t>
        </w:r>
      </w:hyperlink>
      <w:r w:rsidRPr="004232D7">
        <w:rPr>
          <w:rFonts w:ascii="Palatino Linotype" w:hAnsi="Palatino Linotype" w:cs="Arial"/>
          <w:spacing w:val="-2"/>
          <w:sz w:val="20"/>
          <w:szCs w:val="20"/>
        </w:rPr>
        <w:t xml:space="preserve">. </w:t>
      </w:r>
    </w:p>
  </w:footnote>
  <w:footnote w:id="30">
    <w:p w14:paraId="386B98DD"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(1847): 708.</w:t>
      </w:r>
    </w:p>
  </w:footnote>
  <w:footnote w:id="31">
    <w:p w14:paraId="12D42C02"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Alexander Campbell (1833): 244.</w:t>
      </w:r>
    </w:p>
  </w:footnote>
  <w:footnote w:id="32">
    <w:p w14:paraId="70A8F468" w14:textId="77777777" w:rsidR="00BF707A" w:rsidRDefault="00BF707A" w:rsidP="00D272AB">
      <w:pPr>
        <w:pStyle w:val="FootnoteText"/>
        <w:jc w:val="both"/>
      </w:pPr>
      <w:r w:rsidRPr="004232D7">
        <w:rPr>
          <w:rStyle w:val="FootnoteReference"/>
          <w:rFonts w:ascii="Palatino Linotype" w:hAnsi="Palatino Linotype" w:cs="Arial"/>
          <w:spacing w:val="-2"/>
        </w:rPr>
        <w:footnoteRef/>
      </w:r>
      <w:r w:rsidRPr="004232D7">
        <w:rPr>
          <w:rFonts w:ascii="Palatino Linotype" w:hAnsi="Palatino Linotype" w:cs="Arial"/>
          <w:spacing w:val="-2"/>
        </w:rPr>
        <w:t xml:space="preserve"> </w:t>
      </w:r>
      <w:r w:rsidRPr="004232D7">
        <w:rPr>
          <w:rFonts w:ascii="Palatino Linotype" w:hAnsi="Palatino Linotype" w:cs="Arial"/>
          <w:i/>
          <w:iCs/>
          <w:spacing w:val="-2"/>
        </w:rPr>
        <w:t>Ibid</w:t>
      </w:r>
      <w:proofErr w:type="gramStart"/>
      <w:r w:rsidRPr="004232D7">
        <w:rPr>
          <w:rFonts w:ascii="Palatino Linotype" w:hAnsi="Palatino Linotype" w:cs="Arial"/>
          <w:i/>
          <w:iCs/>
          <w:spacing w:val="-2"/>
        </w:rPr>
        <w:t>.</w:t>
      </w:r>
      <w:r w:rsidRPr="004232D7">
        <w:rPr>
          <w:rFonts w:ascii="Palatino Linotype" w:hAnsi="Palatino Linotype" w:cs="Arial"/>
          <w:spacing w:val="-2"/>
        </w:rPr>
        <w:t>:</w:t>
      </w:r>
      <w:proofErr w:type="gramEnd"/>
      <w:r w:rsidRPr="004232D7">
        <w:rPr>
          <w:rFonts w:ascii="Palatino Linotype" w:hAnsi="Palatino Linotype" w:cs="Arial"/>
          <w:spacing w:val="-2"/>
        </w:rPr>
        <w:t xml:space="preserve"> 245.</w:t>
      </w:r>
    </w:p>
  </w:footnote>
  <w:footnote w:id="33">
    <w:p w14:paraId="1CB53604" w14:textId="77777777" w:rsidR="00BF707A" w:rsidRDefault="00BF707A" w:rsidP="00D272AB">
      <w:pPr>
        <w:jc w:val="both"/>
      </w:pPr>
      <w:r w:rsidRPr="004232D7">
        <w:rPr>
          <w:rStyle w:val="FootnoteReference"/>
          <w:rFonts w:ascii="Palatino Linotype" w:hAnsi="Palatino Linotype" w:cs="Arial"/>
          <w:spacing w:val="-2"/>
          <w:sz w:val="20"/>
          <w:szCs w:val="20"/>
        </w:rPr>
        <w:footnoteRef/>
      </w:r>
      <w:r w:rsidRPr="004232D7">
        <w:rPr>
          <w:rFonts w:ascii="Palatino Linotype" w:hAnsi="Palatino Linotype" w:cs="Arial"/>
          <w:spacing w:val="-2"/>
          <w:sz w:val="20"/>
          <w:szCs w:val="20"/>
        </w:rPr>
        <w:t xml:space="preserve"> Alexander Campbell, “Editor’s Reply,” </w:t>
      </w:r>
      <w:r w:rsidRPr="004232D7">
        <w:rPr>
          <w:rFonts w:ascii="Palatino Linotype" w:hAnsi="Palatino Linotype" w:cs="Arial"/>
          <w:i/>
          <w:iCs/>
          <w:spacing w:val="-2"/>
          <w:sz w:val="20"/>
          <w:szCs w:val="20"/>
        </w:rPr>
        <w:t>Millennial Harbinger</w:t>
      </w:r>
      <w:r w:rsidRPr="004232D7">
        <w:rPr>
          <w:rFonts w:ascii="Palatino Linotype" w:hAnsi="Palatino Linotype" w:cs="Arial"/>
          <w:spacing w:val="-2"/>
          <w:sz w:val="20"/>
          <w:szCs w:val="20"/>
        </w:rPr>
        <w:t xml:space="preserve"> </w:t>
      </w:r>
      <w:r w:rsidRPr="004232D7">
        <w:rPr>
          <w:rFonts w:ascii="Palatino Linotype" w:hAnsi="Palatino Linotype" w:cs="Arial"/>
          <w:iCs/>
          <w:spacing w:val="-2"/>
          <w:sz w:val="20"/>
          <w:szCs w:val="20"/>
        </w:rPr>
        <w:t>4</w:t>
      </w:r>
      <w:r w:rsidRPr="004232D7">
        <w:rPr>
          <w:rFonts w:ascii="Palatino Linotype" w:hAnsi="Palatino Linotype" w:cs="Arial"/>
          <w:i/>
          <w:iCs/>
          <w:spacing w:val="-2"/>
          <w:sz w:val="20"/>
          <w:szCs w:val="20"/>
        </w:rPr>
        <w:t xml:space="preserve"> </w:t>
      </w:r>
      <w:r w:rsidRPr="004232D7">
        <w:rPr>
          <w:rFonts w:ascii="Palatino Linotype" w:hAnsi="Palatino Linotype" w:cs="Arial"/>
          <w:spacing w:val="-2"/>
          <w:sz w:val="20"/>
          <w:szCs w:val="20"/>
        </w:rPr>
        <w:t>(July 1833)</w:t>
      </w:r>
      <w:r w:rsidRPr="004232D7">
        <w:rPr>
          <w:rFonts w:ascii="Palatino Linotype" w:hAnsi="Palatino Linotype" w:cs="Arial"/>
          <w:bCs/>
          <w:spacing w:val="-2"/>
          <w:sz w:val="20"/>
          <w:szCs w:val="20"/>
        </w:rPr>
        <w:t>:</w:t>
      </w:r>
      <w:r w:rsidRPr="004232D7">
        <w:rPr>
          <w:rFonts w:ascii="Palatino Linotype" w:hAnsi="Palatino Linotype" w:cs="Arial"/>
          <w:spacing w:val="-2"/>
          <w:sz w:val="20"/>
          <w:szCs w:val="20"/>
        </w:rPr>
        <w:t xml:space="preserve"> 333-6.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B"/>
    <w:rsid w:val="000423E3"/>
    <w:rsid w:val="000A70F3"/>
    <w:rsid w:val="0024702F"/>
    <w:rsid w:val="002F79C4"/>
    <w:rsid w:val="004232D7"/>
    <w:rsid w:val="00434A1E"/>
    <w:rsid w:val="00472828"/>
    <w:rsid w:val="005B0C57"/>
    <w:rsid w:val="006D0C2F"/>
    <w:rsid w:val="00810F81"/>
    <w:rsid w:val="008254F4"/>
    <w:rsid w:val="0086536C"/>
    <w:rsid w:val="00867A16"/>
    <w:rsid w:val="00873D99"/>
    <w:rsid w:val="00897EFD"/>
    <w:rsid w:val="008E6837"/>
    <w:rsid w:val="009F0D73"/>
    <w:rsid w:val="009F26DF"/>
    <w:rsid w:val="00A174BC"/>
    <w:rsid w:val="00A736FC"/>
    <w:rsid w:val="00AC4AD7"/>
    <w:rsid w:val="00AD3E0C"/>
    <w:rsid w:val="00BC76DA"/>
    <w:rsid w:val="00BF707A"/>
    <w:rsid w:val="00C9344B"/>
    <w:rsid w:val="00CF3C9B"/>
    <w:rsid w:val="00D014D6"/>
    <w:rsid w:val="00D0716F"/>
    <w:rsid w:val="00D272AB"/>
    <w:rsid w:val="00EA5F49"/>
    <w:rsid w:val="00EE343B"/>
    <w:rsid w:val="00EF412F"/>
    <w:rsid w:val="00F32089"/>
    <w:rsid w:val="00F33352"/>
    <w:rsid w:val="00F5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7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A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272AB"/>
    <w:rPr>
      <w:sz w:val="20"/>
      <w:szCs w:val="20"/>
    </w:rPr>
  </w:style>
  <w:style w:type="character" w:customStyle="1" w:styleId="FootnoteTextChar">
    <w:name w:val="Footnote Text Char"/>
    <w:basedOn w:val="DefaultParagraphFont"/>
    <w:link w:val="FootnoteText"/>
    <w:uiPriority w:val="99"/>
    <w:semiHidden/>
    <w:locked/>
    <w:rsid w:val="00D272AB"/>
    <w:rPr>
      <w:rFonts w:ascii="Times New Roman" w:hAnsi="Times New Roman" w:cs="Times New Roman"/>
      <w:sz w:val="20"/>
      <w:szCs w:val="20"/>
    </w:rPr>
  </w:style>
  <w:style w:type="character" w:styleId="FootnoteReference">
    <w:name w:val="footnote reference"/>
    <w:basedOn w:val="DefaultParagraphFont"/>
    <w:uiPriority w:val="99"/>
    <w:semiHidden/>
    <w:rsid w:val="00D272AB"/>
    <w:rPr>
      <w:rFonts w:cs="Times New Roman"/>
      <w:vertAlign w:val="superscript"/>
    </w:rPr>
  </w:style>
  <w:style w:type="paragraph" w:styleId="BodyTextIndent">
    <w:name w:val="Body Text Indent"/>
    <w:basedOn w:val="Normal"/>
    <w:link w:val="BodyTextIndentChar"/>
    <w:uiPriority w:val="99"/>
    <w:rsid w:val="00D272AB"/>
    <w:pPr>
      <w:ind w:firstLine="720"/>
    </w:pPr>
  </w:style>
  <w:style w:type="character" w:customStyle="1" w:styleId="BodyTextIndentChar">
    <w:name w:val="Body Text Indent Char"/>
    <w:basedOn w:val="DefaultParagraphFont"/>
    <w:link w:val="BodyTextIndent"/>
    <w:uiPriority w:val="99"/>
    <w:locked/>
    <w:rsid w:val="00D272AB"/>
    <w:rPr>
      <w:rFonts w:ascii="Times New Roman" w:hAnsi="Times New Roman" w:cs="Times New Roman"/>
    </w:rPr>
  </w:style>
  <w:style w:type="character" w:styleId="Hyperlink">
    <w:name w:val="Hyperlink"/>
    <w:basedOn w:val="DefaultParagraphFont"/>
    <w:uiPriority w:val="99"/>
    <w:rsid w:val="00D272AB"/>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A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272AB"/>
    <w:rPr>
      <w:sz w:val="20"/>
      <w:szCs w:val="20"/>
    </w:rPr>
  </w:style>
  <w:style w:type="character" w:customStyle="1" w:styleId="FootnoteTextChar">
    <w:name w:val="Footnote Text Char"/>
    <w:basedOn w:val="DefaultParagraphFont"/>
    <w:link w:val="FootnoteText"/>
    <w:uiPriority w:val="99"/>
    <w:semiHidden/>
    <w:locked/>
    <w:rsid w:val="00D272AB"/>
    <w:rPr>
      <w:rFonts w:ascii="Times New Roman" w:hAnsi="Times New Roman" w:cs="Times New Roman"/>
      <w:sz w:val="20"/>
      <w:szCs w:val="20"/>
    </w:rPr>
  </w:style>
  <w:style w:type="character" w:styleId="FootnoteReference">
    <w:name w:val="footnote reference"/>
    <w:basedOn w:val="DefaultParagraphFont"/>
    <w:uiPriority w:val="99"/>
    <w:semiHidden/>
    <w:rsid w:val="00D272AB"/>
    <w:rPr>
      <w:rFonts w:cs="Times New Roman"/>
      <w:vertAlign w:val="superscript"/>
    </w:rPr>
  </w:style>
  <w:style w:type="paragraph" w:styleId="BodyTextIndent">
    <w:name w:val="Body Text Indent"/>
    <w:basedOn w:val="Normal"/>
    <w:link w:val="BodyTextIndentChar"/>
    <w:uiPriority w:val="99"/>
    <w:rsid w:val="00D272AB"/>
    <w:pPr>
      <w:ind w:firstLine="720"/>
    </w:pPr>
  </w:style>
  <w:style w:type="character" w:customStyle="1" w:styleId="BodyTextIndentChar">
    <w:name w:val="Body Text Indent Char"/>
    <w:basedOn w:val="DefaultParagraphFont"/>
    <w:link w:val="BodyTextIndent"/>
    <w:uiPriority w:val="99"/>
    <w:locked/>
    <w:rsid w:val="00D272AB"/>
    <w:rPr>
      <w:rFonts w:ascii="Times New Roman" w:hAnsi="Times New Roman" w:cs="Times New Roman"/>
    </w:rPr>
  </w:style>
  <w:style w:type="character" w:styleId="Hyperlink">
    <w:name w:val="Hyperlink"/>
    <w:basedOn w:val="DefaultParagraphFont"/>
    <w:uiPriority w:val="99"/>
    <w:rsid w:val="00D272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mun.ca/rels/restmov/texts/acampbell/pla/PLA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2360</Words>
  <Characters>13456</Characters>
  <Application>Microsoft Macintosh Word</Application>
  <DocSecurity>0</DocSecurity>
  <Lines>112</Lines>
  <Paragraphs>31</Paragraphs>
  <ScaleCrop>false</ScaleCrop>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Mark Hicks</dc:title>
  <dc:subject/>
  <dc:creator>Hicks, John Mark (Faculty - hicksjm)</dc:creator>
  <cp:keywords/>
  <dc:description/>
  <cp:lastModifiedBy>Hicks, John Mark (Faculty - hicksjm)</cp:lastModifiedBy>
  <cp:revision>4</cp:revision>
  <dcterms:created xsi:type="dcterms:W3CDTF">2012-06-06T14:12:00Z</dcterms:created>
  <dcterms:modified xsi:type="dcterms:W3CDTF">2013-06-10T17:19:00Z</dcterms:modified>
</cp:coreProperties>
</file>